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BOGNÁR</w:t>
            </w:r>
          </w:p>
          <w:p w:rsidR="00C275A3" w:rsidRDefault="00A96AEC" w:rsidP="00C275A3">
            <w:pPr>
              <w:pStyle w:val="Hallgatokepzes"/>
            </w:pPr>
            <w:r>
              <w:t>Biology MSc</w:t>
            </w:r>
            <w:r>
              <w:br/>
            </w:r>
            <w:r w:rsidR="00E77B23">
              <w:t>MSc, 8.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Sáry MD, PhD</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Audiovisual integration on the magno- and parvocellular pathway.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psychophysical experiment we investigated the multisensory integration using double flash and flash fusion illusions. These phenomena can be observed with simultaneously presented inconsistent number of brief flashes and short tones.</w:t>
      </w:r>
    </w:p>
    <w:p>
      <w:pPr>
        <w:pBdr/>
        <w:spacing w:before="240" w:after="240" w:line="240" w:lineRule="auto"/>
        <w:ind w:left="0" w:right="0"/>
        <w:jc w:val="left"/>
      </w:pPr>
      <w:r>
        <w:rPr>
          <w:color w:val="000000"/>
          <w:sz w:val="24"/>
          <w:szCs w:val="24"/>
        </w:rPr>
        <w:t xml:space="preserve">The aim of our experiment was to explore the background of the audiovisual integration in this illusions.</w:t>
      </w:r>
    </w:p>
    <w:p>
      <w:pPr>
        <w:pBdr/>
        <w:spacing w:before="240" w:after="240" w:line="240" w:lineRule="auto"/>
        <w:ind w:left="0" w:right="0"/>
        <w:jc w:val="left"/>
      </w:pPr>
      <w:r>
        <w:rPr>
          <w:color w:val="000000"/>
          <w:sz w:val="24"/>
          <w:szCs w:val="24"/>
        </w:rPr>
        <w:t xml:space="preserve">We designed our stimuli to drive the dorsal and the ventral visual pathways selectively. The magnocellular pathway was stimulated by low contrast stimuli and isoluminant stimuli were used to drive the parvocellular pathway. The two pathways were stimulated in a high contrast condition. The different photoreceptors contribute to the function of the pathways in different magnitudes and qualities. The retinal density of cones and rods is not homogenous therefore we used central and peripheral conditions as well.</w:t>
      </w:r>
    </w:p>
    <w:p>
      <w:pPr>
        <w:pBdr/>
        <w:spacing w:before="240" w:after="240" w:line="240" w:lineRule="auto"/>
        <w:ind w:left="0" w:right="0"/>
        <w:jc w:val="left"/>
      </w:pPr>
      <w:r>
        <w:rPr>
          <w:color w:val="000000"/>
          <w:sz w:val="24"/>
          <w:szCs w:val="24"/>
        </w:rPr>
        <w:t xml:space="preserve">We did not find remarkable pathway dependence in the condition of double flash illusion. Both pathways support the double flash illusion. The detection of peripheral stimuli was better, which is incongruent with the literature. This difference might come from the large sized stimuli, opposing the small stimuli used in the literature. The sensitivity was lower using central stimuli. We experienced the lowest sensitivity presenting the isoluminant central stimulus. We could see strong fusion illusion that had not been observed before in this condition. Based on our experimental results we can suppose that both visual pathways participate in the formation of the illusions in a different way according to their characteristic features.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88458">
    <w:multiLevelType w:val="hybridMultilevel"/>
    <w:lvl w:ilvl="0" w:tplc="68064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88458">
    <w:abstractNumId w:val="60288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95181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