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SÁNDOR FENYVESI</w:t>
            </w:r>
          </w:p>
          <w:p w:rsidR="00C275A3" w:rsidRDefault="00A96AEC" w:rsidP="00C275A3">
            <w:pPr>
              <w:pStyle w:val="Hallgatokepzes"/>
            </w:pPr>
            <w:r>
              <w:t>Biologist</w:t>
            </w:r>
            <w:r>
              <w:br/>
            </w:r>
            <w:r w:rsidR="00E77B23">
              <w:t>MSc, 12.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Jozsef Soki, PhD</w:t>
            </w:r>
          </w:p>
          <w:p w:rsidR="00DB4822" w:rsidRDefault="00DB4822" w:rsidP="00E11062">
            <w:pPr>
              <w:pStyle w:val="Konzulensek"/>
            </w:pPr>
            <w:r w:rsidRPr="00DB4822">
              <w:t>Research associate,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Isolation and analysis of large Bacteroides plasmids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species of Bacteroides genus are important symbionts and commensalists in the gut, but among certain circumstances they may become pathogenic. In this genus and in its relatives the mobile genetic elements are widely spread. These are insertion sequence elements, mobilizable and conjugative plasmids, transposons, mobilizable and conjugative transposons which may participate in the spread of antibiotic resistance genes or insert into the genome and activate or boost the transcription. The plasmids have two size category: the small (2,7-11 kb) and the large (&gt;11 kb). The small plasmids occur more frequently, can be classified into three homology classes (Class I-III, 2,7, 4,2 and 5,6 kb), and are mostly regard as criptic. In this study we focused specifically to the large plasmids. Our aims were to compare the homologies amongst the type plasmids with already known sequences, to get knowledge about their evolution, to find a suitable method for their isolation and to screen a collection of Bacteroides strains for their large plasmid content. Additionally, we wished to gain information about their roles based on their nucleotide sequences and sites of origin. During our investigations we have isolated 11 different large plasmids from 34 strains in a wide size range (18 to 178 kb). Using restriction enzyme (BglII and HindIII) digestions and Southern hybridization with pBF9343 we detected homologous plasmids to this latter one from our collection; there were two strongly and three faintly hybridizing plasmids, and from the former we have chosen two (from the B. fragilis 76240 and 13422) for full nucleotide sequence determination. These latter strains harboured other small plasmids as well. The sequencing confirmed the results of the Southern blots. Additionally, we have identified the constitutively excised circular form of the MTn4555 mobilizable transposon (B. fragilis 76240) which harboured the cefoxitinase (cfxA) gene. The sequences of the plasmids displayed a ca. 1 % polymorphism with respect to the reference sequences, showing premature translational termination and frameshift codons. It is our further aim to map possible interactions between the plasmids functions (e.g. using complementation assays), and to annotate and find roles for the plasmids for the remaining B. fragilis 13422 strain.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04082">
    <w:multiLevelType w:val="hybridMultilevel"/>
    <w:lvl w:ilvl="0" w:tplc="27078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04082">
    <w:abstractNumId w:val="34804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788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