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LILIÁNA TÓTH</w:t>
            </w:r>
          </w:p>
          <w:p w:rsidR="00C275A3" w:rsidRDefault="00A96AEC" w:rsidP="00C275A3">
            <w:pPr>
              <w:pStyle w:val="Hallgatokepzes"/>
            </w:pPr>
            <w:r>
              <w:t>Biologist MSc</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Vágvölgyi</w:t>
            </w:r>
          </w:p>
          <w:p w:rsidR="00DB4822" w:rsidRDefault="00DB4822" w:rsidP="00E11062">
            <w:pPr>
              <w:pStyle w:val="Konzulensek"/>
            </w:pPr>
            <w:r w:rsidRPr="00DB4822">
              <w:t>head of department professor, SZTE TTIK</w:t>
            </w:r>
          </w:p>
        </w:tc>
      </w:tr>
      <w:tr w:rsidR="00DB4822" w:rsidTr="00DB4822">
        <w:tc>
          <w:tcPr>
            <w:tcW w:w="9854" w:type="dxa"/>
          </w:tcPr>
          <w:p w:rsidR="00DB4822" w:rsidRPr="00DB4822" w:rsidRDefault="00DB4822" w:rsidP="004D7940">
            <w:pPr>
              <w:pStyle w:val="Konzulensek"/>
            </w:pPr>
            <w:r w:rsidRPr="00DB4822">
              <w:t>László Galgóczy</w:t>
            </w:r>
          </w:p>
          <w:p w:rsidR="00DB4822" w:rsidRDefault="00DB4822" w:rsidP="00E11062">
            <w:pPr>
              <w:pStyle w:val="Konzulensek"/>
            </w:pPr>
            <w:r w:rsidRPr="00DB4822">
              <w:t> research fellow,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vitro interactions of amantadine hydrochloride, R-(-)-deprenyl hydrochloride and valproic acid sodium salt with antifungal agents against filamentous fungal species causing central nervous system infection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mortality rates of fungal infections that affect the central nervous system are high in consequence of the absence of effective antifungal drugs. The basic method of treatment of mycoses is the surgical intervention and the therapeutic use of antimycotics. The effective therapeutic usage of certain antifungal drugs in the case of rhinocerebral mycosis is can affected by the difficulty of penetration across the blood-brain barrier, such need to use high doses, which is toxic to human beings and can cause serious side effects. One of our main objectives was to reduce the therapeutic concentration or improve the effectiveness of drugs (which can easily penetrate across the blood-brain barrier and can easily accumulate in the central nervous system) with use of antimycotics. Further difficulties arose due to the inappropriate usage of broad-spectrum antibiotics which results in the appear of resistant and multidrug-resistant strains.</w:t>
      </w:r>
    </w:p>
    <w:p>
      <w:pPr>
        <w:pBdr/>
        <w:spacing w:before="240" w:after="240" w:line="240" w:lineRule="auto"/>
        <w:ind w:left="0" w:right="0"/>
        <w:jc w:val="left"/>
      </w:pPr>
      <w:r>
        <w:rPr>
          <w:color w:val="000000"/>
          <w:sz w:val="24"/>
          <w:szCs w:val="24"/>
        </w:rPr>
        <w:t xml:space="preserve">In the present work in vitro antifungal activities of three good penetrating non-antifungal drugs (amantadine hydrochloride, AMD; R-(-)-deprenyl hydrochloride, R-DEP; valproic acid sodium salt,NaVAP) and their combinations with antifungal agents (amphotericin B, itraconzole, terbinafine) were tested against eight fungal isolates, which belong to Zygomycetes (Absidia corymbifera, Rhizomucor miehei, Rhizopus microsporus var. rhizopodiformis, Saksenaea vasiformis) and Aspergillus genus (A. flavus, A. fumigatus, A. nidulans, A. terreus). When used alone, the non-antifungal drugs exerted slight antifungal effects against the investigated isolates. In the non-antifungal drugs combinations with antifungal agents acted synergistically, additively and antagonistically against zygomyceteous,excludingRh. microsporusvar.rhizopodiformis, where interactions were not observed between the investigated drugs. Primarily antagonistic interactions were revealed between the investigated drugs against the Aspergillus isolates, but additive and synergistic interactions were also observed.</w:t>
      </w:r>
    </w:p>
    <w:p>
      <w:pPr>
        <w:pBdr/>
        <w:spacing w:before="240" w:after="240" w:line="240" w:lineRule="auto"/>
        <w:ind w:left="0" w:right="0"/>
        <w:jc w:val="left"/>
      </w:pPr>
      <w:r>
        <w:rPr>
          <w:color w:val="000000"/>
          <w:sz w:val="24"/>
          <w:szCs w:val="24"/>
        </w:rPr>
        <w:t xml:space="preserve">The additive and synergistic combinations allowed the usage of reduced concentrations of AMB, ITZ and TBF to inhibit the fungal growth in our study. These combinations would be a basis of development of efficient antifungal therapy for treatment of CNF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057563">
    <w:multiLevelType w:val="hybridMultilevel"/>
    <w:lvl w:ilvl="0" w:tplc="190238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057563">
    <w:abstractNumId w:val="120575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05831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