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ELEONORA GAL</w:t>
            </w:r>
          </w:p>
          <w:p w:rsidR="00C275A3" w:rsidRDefault="00A96AEC" w:rsidP="00C275A3">
            <w:pPr>
              <w:pStyle w:val="Hallgatokepzes"/>
            </w:pPr>
            <w:r>
              <w:t>Biology</w:t>
            </w:r>
            <w:r>
              <w:br/>
            </w:r>
            <w:r w:rsidR="00E77B23">
              <w:t>BSc, 8.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Science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Matyas Czepan Dr.</w:t>
            </w:r>
          </w:p>
          <w:p w:rsidR="00DB4822" w:rsidRDefault="00DB4822" w:rsidP="00E11062">
            <w:pPr>
              <w:pStyle w:val="Konzulensek"/>
            </w:pPr>
            <w:r w:rsidRPr="00DB4822">
              <w:t>resident,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Peter Hegyi dr.</w:t>
            </w:r>
          </w:p>
          <w:p w:rsidR="00DB4822" w:rsidRDefault="00DB4822" w:rsidP="00E11062">
            <w:pPr>
              <w:pStyle w:val="Konzulensek"/>
            </w:pPr>
            <w:r w:rsidRPr="00DB4822">
              <w:t>professor,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Na+/Ca2+ exchangers play important rule in the migration and proliferation of human gastric myofibroblasts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INTRODUCTION: Myofibroblasts play important role in chronic gastritis and they contribute to the development of gastric</w:t>
      </w:r>
      <w:r>
        <w:rPr>
          <w:color w:val="000000"/>
          <w:sz w:val="24"/>
          <w:szCs w:val="24"/>
        </w:rPr>
        <w:br/>
        <w:t xml:space="preserve">cancer. They take part in the re-development of gastric mucosa during malignant transformation and they help malignant</w:t>
      </w:r>
      <w:r>
        <w:rPr>
          <w:color w:val="000000"/>
          <w:sz w:val="24"/>
          <w:szCs w:val="24"/>
        </w:rPr>
        <w:br/>
        <w:t xml:space="preserve">cells to spread locally and to make distant metastases. In these processes they migrate and divide in the subepithelium</w:t>
      </w:r>
      <w:r>
        <w:rPr>
          <w:color w:val="000000"/>
          <w:sz w:val="24"/>
          <w:szCs w:val="24"/>
        </w:rPr>
        <w:br/>
        <w:t xml:space="preserve">vigorously, which implicates vigorous intracellular calcium signaling. Our aim was to investigate intracellular calcium</w:t>
      </w:r>
      <w:r>
        <w:rPr>
          <w:color w:val="000000"/>
          <w:sz w:val="24"/>
          <w:szCs w:val="24"/>
        </w:rPr>
        <w:br/>
        <w:t xml:space="preserve">signals in human gastric myofibroblasts (HGMs) and test the effect of calcium antagonists on migration and proliferation</w:t>
      </w:r>
      <w:r>
        <w:rPr>
          <w:color w:val="000000"/>
          <w:sz w:val="24"/>
          <w:szCs w:val="24"/>
        </w:rPr>
        <w:br/>
        <w:t xml:space="preserve">of these cells.</w:t>
      </w:r>
      <w:r>
        <w:rPr>
          <w:color w:val="000000"/>
          <w:sz w:val="24"/>
          <w:szCs w:val="24"/>
        </w:rPr>
        <w:br/>
        <w:t xml:space="preserve">AIMS &amp; METHODS: Myofibroblasts were isolated from the resection margin of human gastric resection tissues (n=3) and</w:t>
      </w:r>
      <w:r>
        <w:rPr>
          <w:color w:val="000000"/>
          <w:sz w:val="24"/>
          <w:szCs w:val="24"/>
        </w:rPr>
        <w:br/>
        <w:t xml:space="preserve">from cadaver donors (n=2). Cells from each preparation were stained for α-smooth muscle actin and vimentin to monitor</w:t>
      </w:r>
      <w:r>
        <w:rPr>
          <w:color w:val="000000"/>
          <w:sz w:val="24"/>
          <w:szCs w:val="24"/>
        </w:rPr>
        <w:br/>
        <w:t xml:space="preserve">purity. Intracellular calcium concentration was measured with FURA-2AM microfluorimetry; ion-withdrawal technique and</w:t>
      </w:r>
      <w:r>
        <w:rPr>
          <w:color w:val="000000"/>
          <w:sz w:val="24"/>
          <w:szCs w:val="24"/>
        </w:rPr>
        <w:br/>
        <w:t xml:space="preserve">different calcium channel/transporter inhibitors were used. Scratch wound migration assays were applied to test the effect</w:t>
      </w:r>
      <w:r>
        <w:rPr>
          <w:color w:val="000000"/>
          <w:sz w:val="24"/>
          <w:szCs w:val="24"/>
        </w:rPr>
        <w:br/>
        <w:t xml:space="preserve">of plasmalemmal sodium/calcium exchanger (NCX) inhibitors (CB-DMB and nickel chloride) and L-type calcium channel</w:t>
      </w:r>
      <w:r>
        <w:rPr>
          <w:color w:val="000000"/>
          <w:sz w:val="24"/>
          <w:szCs w:val="24"/>
        </w:rPr>
        <w:br/>
        <w:t xml:space="preserve">blocker (verapamil) on basal and insulin-like growth factor (IGF) II-stimulated migration. Ethynyl-deoxi-Uridine (EdU)</w:t>
      </w:r>
      <w:r>
        <w:rPr>
          <w:color w:val="000000"/>
          <w:sz w:val="24"/>
          <w:szCs w:val="24"/>
        </w:rPr>
        <w:br/>
        <w:t xml:space="preserve">incorporation assay was used to test the effect of inhibitors on basal and IGF-II-stimulated cell division.</w:t>
      </w:r>
      <w:r>
        <w:rPr>
          <w:color w:val="000000"/>
          <w:sz w:val="24"/>
          <w:szCs w:val="24"/>
        </w:rPr>
        <w:br/>
        <w:t xml:space="preserve">RESULTS: Myofibroblast cultures with &gt;99% α-SMA and vimentin-positive cells were used. Microfluorimetry showed that</w:t>
      </w:r>
      <w:r>
        <w:rPr>
          <w:color w:val="000000"/>
          <w:sz w:val="24"/>
          <w:szCs w:val="24"/>
        </w:rPr>
        <w:br/>
        <w:t xml:space="preserve">half of cultured HGMs display non-synchronized spontaneous monophasic calcium oscillation, which was inhibited by CBDMB</w:t>
      </w:r>
      <w:r>
        <w:rPr>
          <w:color w:val="000000"/>
          <w:sz w:val="24"/>
          <w:szCs w:val="24"/>
        </w:rPr>
        <w:br/>
        <w:t xml:space="preserve">and nickel chloride but not by verapamil. Migration assays showed that basal migration is reduced by NCX</w:t>
      </w:r>
      <w:r>
        <w:rPr>
          <w:color w:val="000000"/>
          <w:sz w:val="24"/>
          <w:szCs w:val="24"/>
        </w:rPr>
        <w:br/>
        <w:t xml:space="preserve">inhibitors but not by verapamil, however all inhibitors reduced IGF-II-stimulated motility. EdU incorporation showed that all</w:t>
      </w:r>
      <w:r>
        <w:rPr>
          <w:color w:val="000000"/>
          <w:sz w:val="24"/>
          <w:szCs w:val="24"/>
        </w:rPr>
        <w:br/>
        <w:t xml:space="preserve">inhibitors, especially nickel chloride, greatly deteriorate both basal and IGF-II-stimulated proliferation.</w:t>
      </w:r>
      <w:r>
        <w:rPr>
          <w:color w:val="000000"/>
          <w:sz w:val="24"/>
          <w:szCs w:val="24"/>
        </w:rPr>
        <w:br/>
        <w:t xml:space="preserve">CONCLUSION: Human gastric myofibroblasts contain functionally active plasmalemmal NCX, which generates</w:t>
      </w:r>
      <w:r>
        <w:rPr>
          <w:color w:val="000000"/>
          <w:sz w:val="24"/>
          <w:szCs w:val="24"/>
        </w:rPr>
        <w:br/>
        <w:t xml:space="preserve">intracellular calcium oscillation. NCX and L-type calcium channel both play crucial role in motility and proliferation in</w:t>
      </w:r>
      <w:r>
        <w:rPr>
          <w:color w:val="000000"/>
          <w:sz w:val="24"/>
          <w:szCs w:val="24"/>
        </w:rPr>
        <w:br/>
        <w:t xml:space="preserve">response to IGF-II-stimulation of HGMs in vitro.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475188">
    <w:multiLevelType w:val="hybridMultilevel"/>
    <w:lvl w:ilvl="0" w:tplc="101454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475188">
    <w:abstractNumId w:val="494751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91848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