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RÁHEL ZÖLEI-SZÉNÁSI</w:t>
            </w:r>
          </w:p>
          <w:p w:rsidR="00C275A3" w:rsidRDefault="00A96AEC" w:rsidP="00C275A3">
            <w:pPr>
              <w:pStyle w:val="Hallgatokepzes"/>
            </w:pPr>
            <w:r>
              <w:t>Bachelor of Physics</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Hopp, DSc.</w:t>
            </w:r>
          </w:p>
          <w:p w:rsidR="00DB4822" w:rsidRDefault="00DB4822" w:rsidP="00E11062">
            <w:pPr>
              <w:pStyle w:val="Konzulensek"/>
            </w:pPr>
            <w:r w:rsidRPr="00DB4822">
              <w:t>scientific advisor,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Modification of the Surface Morphology of Titanium Dental Implants by the Use of Lasers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Dental implantology has a long history, since the ancient Egyptians used materials – which were easy to modify – as cementation. Nowadays these have been replaced with biocompatible – i.e. harmless for the human body – materials like pure Titanium. In Hungary the development of this technology started 40 years ago, and the success rate of the operations is close to 100%.</w:t>
      </w:r>
      <w:r>
        <w:rPr>
          <w:color w:val="000000"/>
          <w:sz w:val="24"/>
          <w:szCs w:val="24"/>
        </w:rPr>
        <w:br/>
        <w:t xml:space="preserve">A very uncomfortable drawback of this technology is that the infiltration takes about 3-6 months. My task was to reach an appropriate morphology on the surface of the samples by using lasers. This modification should help and accelerate the attechement and proliferation of relevant cells, so the period of osseointegration can be shortened. In this way the comfortness of the patients can be highly impoved. I used a KrF laser (wavelength is 248 nm) and a Nd:YAG laser (wavelength is 532 nm) for the modification. I investigated the morphology of the treated samples with Scanning Electron Microscope, Profilometer and Atomic Force Microscope. I calculated the Ra average roughness parameter which is a commonly used quantitative value regarding to the international literature. I did some thermal calculations by using a simple model to understand the process during the treatment performed with the Nd:YAG laser.</w:t>
      </w:r>
      <w:r>
        <w:rPr>
          <w:color w:val="000000"/>
          <w:sz w:val="24"/>
          <w:szCs w:val="24"/>
        </w:rPr>
        <w:br/>
        <w:t xml:space="preserve">The samples treated by the above mentioned lasers are biologically tested by the research fellows at the Faculty of Dentistry of the University of Szeged, Hungary. With respect to the preliminary results we can state that we could shorten the time of osseointegration with this modification.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4837">
    <w:multiLevelType w:val="hybridMultilevel"/>
    <w:lvl w:ilvl="0" w:tplc="69096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4837">
    <w:abstractNumId w:val="68904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521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