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KOVÁCS</w:t>
            </w:r>
          </w:p>
          <w:p w:rsidR="00C275A3" w:rsidRDefault="00A96AEC" w:rsidP="00C275A3">
            <w:pPr>
              <w:pStyle w:val="Hallgatokepzes"/>
            </w:pPr>
            <w:r>
              <w:t>geography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Boros</w:t>
            </w:r>
          </w:p>
          <w:p w:rsidR="00DB4822" w:rsidRDefault="00DB4822" w:rsidP="00E11062">
            <w:pPr>
              <w:pStyle w:val="Konzulensek"/>
            </w:pPr>
            <w:r w:rsidRPr="00DB4822">
              <w:t>assistant professor/adjunktus,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Thematic routes in Szabolcs-Szatmár-Bereg county according to the visitors’ opinion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increasing role of cultural tourism, the thematic routes are becoming more and more important. Connected with this, I analyzed seven thematic routes – established by the DKMT (Danube-Kris-Mureş-Tisza) Euroregion – according to the experts’ opininons.</w:t>
      </w:r>
      <w:r>
        <w:rPr>
          <w:color w:val="000000"/>
          <w:sz w:val="24"/>
          <w:szCs w:val="24"/>
        </w:rPr>
        <w:br/>
        <w:t xml:space="preserve">The relevance of the topic is reasonable in many ways. On the one hand, the thematic routes, as a new kind of tourism products (at least in our country) are becoming more and more popular, but few studies have been taken about their function and efficiency. On the other hand, the thematic routes significantly contribute to increase the economic activity of the larger areas (in the case of Hungary mostly it means counties, perhaps regions). Last but not least, the topic is relevant because the Southern Great Plain Region has not been developed thematic routes yet, such as the routes of DKMT are particularly important from tourist point of view. My aim is to assess the demand for these routes and analyse any incompleteness in connection with the routes towards future developments.</w:t>
      </w:r>
      <w:r>
        <w:rPr>
          <w:color w:val="000000"/>
          <w:sz w:val="24"/>
          <w:szCs w:val="24"/>
        </w:rPr>
        <w:br/>
        <w:t xml:space="preserve">In the first part of the paper, based on the literature I present the thematic routes in a wider sense, particularly focusing on cultural tourism, and then I describe the thematic routes with some foreign and national examples.</w:t>
      </w:r>
      <w:r>
        <w:rPr>
          <w:color w:val="000000"/>
          <w:sz w:val="24"/>
          <w:szCs w:val="24"/>
        </w:rPr>
        <w:br/>
        <w:t xml:space="preserve">In the second part of the paper beside the presentation of thematic routes, I would like to review the results obtained from the evaluation of structured interviews.</w:t>
      </w:r>
      <w:r>
        <w:rPr>
          <w:color w:val="000000"/>
          <w:sz w:val="24"/>
          <w:szCs w:val="24"/>
        </w:rPr>
        <w:br/>
        <w:t xml:space="preserve">Based on the results concluded that the interviewees observed interest towards the routes. Considering that mainly individual tourists interested and visit the routes, so the routes’ popularity is difficult to measure. However, in order to promote the routes try to be done more and more, through brochures and personal communications.</w:t>
      </w:r>
      <w:r>
        <w:rPr>
          <w:color w:val="000000"/>
          <w:sz w:val="24"/>
          <w:szCs w:val="24"/>
        </w:rPr>
        <w:br/>
        <w:t xml:space="preserve">Incurred in the future to draw a greater number of groupes’ attention, which probably would increase both the number of tourists and the number of guest nights of the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17464">
    <w:multiLevelType w:val="hybridMultilevel"/>
    <w:lvl w:ilvl="0" w:tplc="71071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17464">
    <w:abstractNumId w:val="15317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703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