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DANCS</w:t>
            </w:r>
          </w:p>
          <w:p w:rsidR="00C275A3" w:rsidRDefault="00A96AEC" w:rsidP="00C275A3">
            <w:pPr>
              <w:pStyle w:val="Hallgatokepzes"/>
            </w:pPr>
            <w:r>
              <w:t>Chemist</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Gajda</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Dávid Árus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the possible metal binding sites of human ZnT3 protein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Zinc-transporters are transmembrane-structured proteins responsible for relocation of zinc ions through cell membranes. The human ZnT3 protein is a brain specific zinc transporter protein, which is located in the membranes of zinc-rich glutamatergic presynaptic vesicles, and thus related to most zinc released into the synaptic space. Although synaptic zinc is believed to act as signaling factor and neuromodulator, hence has important role e.g. in learning and memory, it was also shown that high zinc concentrations can trigger the aggregation of beta-amyloid peptide, thus can be related to the amyloid neuropathology of Alzheimer’s disease.</w:t>
      </w:r>
    </w:p>
    <w:p>
      <w:pPr>
        <w:pBdr/>
        <w:spacing w:before="240" w:after="240" w:line="240" w:lineRule="auto"/>
        <w:ind w:left="0" w:right="0"/>
        <w:jc w:val="left"/>
      </w:pPr>
      <w:r>
        <w:rPr>
          <w:color w:val="000000"/>
          <w:sz w:val="24"/>
          <w:szCs w:val="24"/>
        </w:rPr>
        <w:t xml:space="preserve">ZnT-transporters commonly contain a histidine-rich loop between the IV. and V. transmembrane sections, which is widely accepted in the literature as putative metal binding site (MBS1). On the other hand, ZnT3 contains several other well-conserved potential metal binding sequences such as MBS2, a matrix-metalloproteinase-type fragment at the C-terminus, or a –HHCH– fragment at the N-terminus (MBS3). Both binding sites have been characterised by our research group previously. I participated in the investigation of two peptides (Ac-RHQAGPPHSHR-NH</w:t>
      </w:r>
      <w:r>
        <w:rPr>
          <w:color w:val="000000"/>
          <w:position w:val="-4"/>
          <w:sz w:val="21"/>
          <w:szCs w:val="21"/>
          <w:vertAlign w:val="subscript"/>
        </w:rPr>
        <w:t xml:space="preserve">2</w:t>
      </w:r>
      <w:r>
        <w:rPr>
          <w:color w:val="000000"/>
          <w:sz w:val="24"/>
          <w:szCs w:val="24"/>
        </w:rPr>
        <w:t xml:space="preserve"> (L</w:t>
      </w:r>
      <w:r>
        <w:rPr>
          <w:color w:val="000000"/>
          <w:position w:val="4"/>
          <w:sz w:val="21"/>
          <w:szCs w:val="21"/>
          <w:vertAlign w:val="superscript"/>
        </w:rPr>
        <w:t xml:space="preserve">1</w:t>
      </w:r>
      <w:r>
        <w:rPr>
          <w:color w:val="000000"/>
          <w:sz w:val="24"/>
          <w:szCs w:val="24"/>
        </w:rPr>
        <w:t xml:space="preserve">), cyclo(Ac-CKLHQAGPPHSHGSRGAEYAPLEEGPEEKC-NH</w:t>
      </w:r>
      <w:r>
        <w:rPr>
          <w:color w:val="000000"/>
          <w:position w:val="-4"/>
          <w:sz w:val="21"/>
          <w:szCs w:val="21"/>
          <w:vertAlign w:val="subscript"/>
        </w:rPr>
        <w:t xml:space="preserve">2</w:t>
      </w:r>
      <w:r>
        <w:rPr>
          <w:color w:val="000000"/>
          <w:sz w:val="24"/>
          <w:szCs w:val="24"/>
        </w:rPr>
        <w:t xml:space="preserve">), (L</w:t>
      </w:r>
      <w:r>
        <w:rPr>
          <w:color w:val="000000"/>
          <w:position w:val="4"/>
          <w:sz w:val="21"/>
          <w:szCs w:val="21"/>
          <w:vertAlign w:val="superscript"/>
        </w:rPr>
        <w:t xml:space="preserve">2</w:t>
      </w:r>
      <w:r>
        <w:rPr>
          <w:color w:val="000000"/>
          <w:sz w:val="24"/>
          <w:szCs w:val="24"/>
        </w:rPr>
        <w:t xml:space="preserve">)) representing MBS1.</w:t>
      </w:r>
    </w:p>
    <w:p>
      <w:pPr>
        <w:pBdr/>
        <w:spacing w:before="240" w:after="240" w:line="240" w:lineRule="auto"/>
        <w:ind w:left="0" w:right="0"/>
        <w:jc w:val="left"/>
      </w:pPr>
      <w:r>
        <w:rPr>
          <w:color w:val="000000"/>
          <w:sz w:val="24"/>
          <w:szCs w:val="24"/>
        </w:rPr>
        <w:t xml:space="preserve">Proton and metal ion (Zn(II), Cu(II) and Ni(II)) complexes of both ligands have been characterised by pH-potentiometric measurements. Spectroscopic methods such as NMR, EPR, UV-Vis and CD spectroscopy were used to follow complex formation and to obtain structural information.</w:t>
      </w:r>
    </w:p>
    <w:p>
      <w:pPr>
        <w:pBdr/>
        <w:spacing w:before="240" w:after="240" w:line="240" w:lineRule="auto"/>
        <w:ind w:left="0" w:right="0"/>
        <w:jc w:val="left"/>
      </w:pPr>
      <w:r>
        <w:rPr>
          <w:color w:val="000000"/>
          <w:sz w:val="24"/>
          <w:szCs w:val="24"/>
        </w:rPr>
        <w:t xml:space="preserve">The dominant complex of L</w:t>
      </w:r>
      <w:r>
        <w:rPr>
          <w:color w:val="000000"/>
          <w:position w:val="4"/>
          <w:sz w:val="21"/>
          <w:szCs w:val="21"/>
          <w:vertAlign w:val="superscript"/>
        </w:rPr>
        <w:t xml:space="preserve">1</w:t>
      </w:r>
      <w:r>
        <w:rPr>
          <w:color w:val="000000"/>
          <w:sz w:val="24"/>
          <w:szCs w:val="24"/>
        </w:rPr>
        <w:t xml:space="preserve"> peptide in physiological pH range is ML</w:t>
      </w:r>
      <w:r>
        <w:rPr>
          <w:color w:val="000000"/>
          <w:position w:val="4"/>
          <w:sz w:val="21"/>
          <w:szCs w:val="21"/>
          <w:vertAlign w:val="superscript"/>
        </w:rPr>
        <w:t xml:space="preserve">1</w:t>
      </w:r>
      <w:r>
        <w:rPr>
          <w:color w:val="000000"/>
          <w:sz w:val="24"/>
          <w:szCs w:val="24"/>
        </w:rPr>
        <w:t xml:space="preserve">, M</w:t>
      </w:r>
      <w:r>
        <w:rPr>
          <w:color w:val="000000"/>
          <w:position w:val="4"/>
          <w:sz w:val="21"/>
          <w:szCs w:val="21"/>
          <w:vertAlign w:val="superscript"/>
        </w:rPr>
        <w:t xml:space="preserve">2+</w:t>
      </w:r>
      <w:r>
        <w:rPr>
          <w:color w:val="000000"/>
          <w:sz w:val="24"/>
          <w:szCs w:val="24"/>
        </w:rPr>
        <w:t xml:space="preserve"> is coordinated only by histidines. During Zn(II) complex formation there is no indication of amide-deprotonation above pH 7. The stability of ZnL</w:t>
      </w:r>
      <w:r>
        <w:rPr>
          <w:color w:val="000000"/>
          <w:position w:val="4"/>
          <w:sz w:val="21"/>
          <w:szCs w:val="21"/>
          <w:vertAlign w:val="superscript"/>
        </w:rPr>
        <w:t xml:space="preserve">1</w:t>
      </w:r>
      <w:r>
        <w:rPr>
          <w:color w:val="000000"/>
          <w:sz w:val="24"/>
          <w:szCs w:val="24"/>
        </w:rPr>
        <w:t xml:space="preserve"> complex (log K = 4.27) is much lower than the analogue complex mimicking the MBS3 binding site (log K</w:t>
      </w:r>
      <w:r>
        <w:rPr>
          <w:color w:val="000000"/>
          <w:position w:val="-4"/>
          <w:sz w:val="21"/>
          <w:szCs w:val="21"/>
          <w:vertAlign w:val="subscript"/>
        </w:rPr>
        <w:t xml:space="preserve">ZnL</w:t>
      </w:r>
      <w:r>
        <w:rPr>
          <w:color w:val="000000"/>
          <w:sz w:val="24"/>
          <w:szCs w:val="24"/>
        </w:rPr>
        <w:t xml:space="preserve"> = 8.76). The three histidine coordinated zinc(II) complex of L</w:t>
      </w:r>
      <w:r>
        <w:rPr>
          <w:color w:val="000000"/>
          <w:position w:val="4"/>
          <w:sz w:val="21"/>
          <w:szCs w:val="21"/>
          <w:vertAlign w:val="superscript"/>
        </w:rPr>
        <w:t xml:space="preserve">2</w:t>
      </w:r>
      <w:r>
        <w:rPr>
          <w:color w:val="000000"/>
          <w:sz w:val="24"/>
          <w:szCs w:val="24"/>
        </w:rPr>
        <w:t xml:space="preserve"> (ZnH</w:t>
      </w:r>
      <w:r>
        <w:rPr>
          <w:color w:val="000000"/>
          <w:position w:val="-4"/>
          <w:sz w:val="21"/>
          <w:szCs w:val="21"/>
          <w:vertAlign w:val="subscript"/>
        </w:rPr>
        <w:t xml:space="preserve">3</w:t>
      </w:r>
      <w:r>
        <w:rPr>
          <w:color w:val="000000"/>
          <w:sz w:val="24"/>
          <w:szCs w:val="24"/>
        </w:rPr>
        <w:t xml:space="preserve">L</w:t>
      </w:r>
      <w:r>
        <w:rPr>
          <w:color w:val="000000"/>
          <w:position w:val="4"/>
          <w:sz w:val="21"/>
          <w:szCs w:val="21"/>
          <w:vertAlign w:val="superscript"/>
        </w:rPr>
        <w:t xml:space="preserve">2</w:t>
      </w:r>
      <w:r>
        <w:rPr>
          <w:color w:val="000000"/>
          <w:sz w:val="24"/>
          <w:szCs w:val="24"/>
        </w:rPr>
        <w:t xml:space="preserve">) is the dominant species at neutral pH. Although, its stability (log K = 5.93) is higher than that of ZnL</w:t>
      </w:r>
      <w:r>
        <w:rPr>
          <w:color w:val="000000"/>
          <w:position w:val="4"/>
          <w:sz w:val="21"/>
          <w:szCs w:val="21"/>
          <w:vertAlign w:val="superscript"/>
        </w:rPr>
        <w:t xml:space="preserve">1</w:t>
      </w:r>
      <w:r>
        <w:rPr>
          <w:color w:val="000000"/>
          <w:sz w:val="24"/>
          <w:szCs w:val="24"/>
        </w:rPr>
        <w:t xml:space="preserve">, it is still much lower stability of the analogue complex mimicking the MBS3 binding site. None of the studied ligands showed considerable selectivity to any metal ion unlike the –HHCH– containing fragment with its remarkable zinc(II) affinity. Based on these results we recommend the MBS3 sequence as putative metal binding site of human ZnT3 protein instead of MBS1.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99727">
    <w:multiLevelType w:val="hybridMultilevel"/>
    <w:lvl w:ilvl="0" w:tplc="39195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99727">
    <w:abstractNumId w:val="56399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095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