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GECSE</w:t>
            </w:r>
          </w:p>
          <w:p w:rsidR="00C275A3" w:rsidRDefault="00A96AEC" w:rsidP="00C275A3">
            <w:pPr>
              <w:pStyle w:val="Hallgatokepzes"/>
            </w:pPr>
            <w:r>
              <w:t>chemist</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 Péter</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Dr. István Ilisz</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High-performance liquid chromatographic enantioseparation of isoxazoline-fused cispentacin analogs on chiral stationary phases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High-performance liquid chromatographic enantioseparation of isoxazoline-fused cispentacin analogs on chiral stationary phases</w:t>
      </w:r>
      <w:r>
        <w:rPr>
          <w:color w:val="000000"/>
          <w:sz w:val="24"/>
          <w:szCs w:val="24"/>
        </w:rPr>
        <w:br/>
        <w:t xml:space="preserve">Zsanett Gecse</w:t>
      </w:r>
      <w:r>
        <w:rPr>
          <w:color w:val="000000"/>
          <w:sz w:val="24"/>
          <w:szCs w:val="24"/>
        </w:rPr>
        <w:br/>
        <w:t xml:space="preserve">University of Szeged Faculty of Science and Informatics</w:t>
      </w:r>
      <w:r>
        <w:rPr>
          <w:color w:val="000000"/>
          <w:sz w:val="24"/>
          <w:szCs w:val="24"/>
        </w:rPr>
        <w:br/>
        <w:t xml:space="preserve">Department of Inorganic and Analytical Chemistry</w:t>
      </w:r>
    </w:p>
    <w:p>
      <w:pPr>
        <w:pBdr/>
        <w:spacing w:before="240" w:after="240" w:line="240" w:lineRule="auto"/>
        <w:ind w:left="0" w:right="0"/>
        <w:jc w:val="left"/>
      </w:pPr>
      <w:r>
        <w:rPr>
          <w:color w:val="000000"/>
          <w:sz w:val="24"/>
          <w:szCs w:val="24"/>
        </w:rPr>
        <w:t xml:space="preserve">Supervisors: Dr. Antal Péter</w:t>
      </w:r>
      <w:r>
        <w:rPr>
          <w:color w:val="000000"/>
          <w:sz w:val="24"/>
          <w:szCs w:val="24"/>
        </w:rPr>
        <w:br/>
        <w:t xml:space="preserve">Dr. István Ilisz</w:t>
      </w:r>
    </w:p>
    <w:p>
      <w:pPr>
        <w:pBdr/>
        <w:spacing w:before="240" w:after="240" w:line="240" w:lineRule="auto"/>
        <w:ind w:left="0" w:right="0"/>
        <w:jc w:val="left"/>
      </w:pPr>
      <w:r>
        <w:rPr>
          <w:color w:val="000000"/>
          <w:sz w:val="24"/>
          <w:szCs w:val="24"/>
        </w:rPr>
        <w:t xml:space="preserve">Alicyclic ß-amino acids as a consequence of their pharmacological potential represent a hot topic in medicinal chemistry. The wide-ranging utility of these compound has led to increased attention being paid to their enantioselective syntheses, which require analytical methods for check on the enantiopurity of the final product. One of the most frequently applied techniques is the chiral high-performance liquid chromatography (HPLC).</w:t>
      </w:r>
      <w:r>
        <w:rPr>
          <w:color w:val="000000"/>
          <w:sz w:val="24"/>
          <w:szCs w:val="24"/>
        </w:rPr>
        <w:br/>
        <w:t xml:space="preserve">In the present work, direct HPLC methods are described for the separation of isoxazoline-fused 2-aminocyclopentanecarboxylic acids (Fig. 1.), with the application of different (+)-(18-crown-6)-2,3,11,12-tetracarboxylic acid-based CSPs. All analytes were separated with different mobil phase compositions applying H</w:t>
      </w:r>
      <w:r>
        <w:rPr>
          <w:color w:val="000000"/>
          <w:position w:val="-4"/>
          <w:sz w:val="21"/>
          <w:szCs w:val="21"/>
          <w:vertAlign w:val="subscript"/>
        </w:rPr>
        <w:t xml:space="preserve">2</w:t>
      </w:r>
      <w:r>
        <w:rPr>
          <w:color w:val="000000"/>
          <w:sz w:val="24"/>
          <w:szCs w:val="24"/>
        </w:rPr>
        <w:t xml:space="preserve">O/alcohol (v/v) + acid systems. Nature and concentration of alcoholic modifiers and acids in the mobile phase, the effects of the mobile phase composition, the specific structural features of the analytes and selectors on the separation were investigated. The elution sequence was determined in all cases.</w:t>
      </w:r>
    </w:p>
    <w:p>
      <w:pPr>
        <w:pBdr/>
        <w:spacing w:before="240" w:after="240" w:line="240" w:lineRule="auto"/>
        <w:ind w:left="0" w:right="0"/>
        <w:jc w:val="left"/>
      </w:pPr>
      <w:r>
        <w:rPr>
          <w:color w:val="000000"/>
          <w:sz w:val="24"/>
          <w:szCs w:val="24"/>
        </w:rPr>
        <w:drawing>
          <wp:inline distT="0" distB="0" distL="0" distR="0">
            <wp:extent cx="4356000" cy="4190400"/>
            <wp:docPr id="36116695" name="name150c01e7cd8e2a" descr="imgtmp_15791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791_int_1.JPG"/>
                    <pic:cNvPicPr/>
                  </pic:nvPicPr>
                  <pic:blipFill>
                    <a:blip r:embed="rId150c01e7cd8dec" cstate="print"/>
                    <a:stretch>
                      <a:fillRect/>
                    </a:stretch>
                  </pic:blipFill>
                  <pic:spPr>
                    <a:xfrm>
                      <a:off x="0" y="0"/>
                      <a:ext cx="4356000" cy="41904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Figure 1. Structures of isoxazoline-fused 2-aminocyclopentanecarboxylic acids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16017">
    <w:multiLevelType w:val="hybridMultilevel"/>
    <w:lvl w:ilvl="0" w:tplc="11237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16017">
    <w:abstractNumId w:val="58516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817107" Type="http://schemas.openxmlformats.org/officeDocument/2006/relationships/numbering" Target="numbering.xml"/><Relationship Id="rId150c01e7cd8dec" Type="http://schemas.openxmlformats.org/officeDocument/2006/relationships/image" Target="media/imgrId150c01e7cd8dec.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