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METZINGER</w:t>
            </w:r>
          </w:p>
          <w:p w:rsidR="00C275A3" w:rsidRDefault="00A96AEC" w:rsidP="00C275A3">
            <w:pPr>
              <w:pStyle w:val="Hallgatokepzes"/>
            </w:pPr>
            <w:r>
              <w:t>Chemist</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Galbács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LIBS spectra for the discrimination of solid samples of similar origin</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Laser-induced plasma or breakdown spectroscopy (LIPS or LIBS) is one of the atomic emission spectroscopy methods. LIBS spectrometry uses a focused pulsed laser light (MW to GW power density) to break down the sample and atomize, excite and ionize sample components. It is a fast micro-analytical method, with which it is possible to obtain both quantitative and qualitative analytical data, independently of the physical phase, without any sample preparation. The analysis can also be performed in-situ or remotely.</w:t>
      </w:r>
      <w:r>
        <w:rPr>
          <w:color w:val="000000"/>
          <w:sz w:val="24"/>
          <w:szCs w:val="24"/>
        </w:rPr>
        <w:br/>
        <w:t xml:space="preserve">The discrimination of samples is a common and important analytical task for example in criminal, legal, pharmaceutical, etc. application areas. Hence, there is a continuous urge for the development of new analytical and data evaluation methods, with the use of which the identification of sample types, identification of the origin of samples, detection of differences in composition, etc. is possible.</w:t>
      </w:r>
      <w:r>
        <w:rPr>
          <w:color w:val="000000"/>
          <w:sz w:val="24"/>
          <w:szCs w:val="24"/>
        </w:rPr>
        <w:br/>
        <w:t xml:space="preserve">Because the intensity ratios of LIBS are very typical for the samples and experimental conditions, they carry a lot of information (act like "fingerprints"), therefore it can be assumed that these spectra can be used for sample discrimination/identification. It was the goal of my work to investigate the potentials of LIBS in this application. As test samples, I chose paper samples, prints and soldering alloys, which all have practical importance.</w:t>
      </w:r>
      <w:r>
        <w:rPr>
          <w:color w:val="000000"/>
          <w:sz w:val="24"/>
          <w:szCs w:val="24"/>
        </w:rPr>
        <w:br/>
        <w:t xml:space="preserve">During my experimental word, I used LIBS experimental systems, which have been developed by our research group. These systems are built around a fast triggered, dual-channel fiber-optic CCD spectrometer (Avantes) and a Nd: GGG solid-state laser (Technoorg Linda). The spectra were evaluated using Origin 8.6 (OriginLab), MS Office Excel 2007 (Microsoft) and Peax 2.0 (Systematix) software.</w:t>
      </w:r>
      <w:r>
        <w:rPr>
          <w:color w:val="000000"/>
          <w:sz w:val="24"/>
          <w:szCs w:val="24"/>
        </w:rPr>
        <w:br/>
        <w:t xml:space="preserve">I recorded the LIBS spectra of 49 paper/print samples and more than 20 Sn-Pb alloys under different experimental conditions. I compared the spectra with the help of three different numerical methods (overlapping integral, linear correlation and sum of squared deviations) and using spectral masking.</w:t>
      </w:r>
      <w:r>
        <w:rPr>
          <w:color w:val="000000"/>
          <w:sz w:val="24"/>
          <w:szCs w:val="24"/>
        </w:rPr>
        <w:br/>
        <w:t xml:space="preserve">It was found that, with the help of the employed numerical procedures, the LIBS spectra can be succesfully used in the discrimination of samples even in cases where differences between the spectra was only caused by only slight compositional variations (trace contaminants). Although it is generally adviseable, but it was also found that it is not imperative to perform spectral bacgkround correction prior to the comparison of spectra.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55538">
    <w:multiLevelType w:val="hybridMultilevel"/>
    <w:lvl w:ilvl="0" w:tplc="87573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55538">
    <w:abstractNumId w:val="61055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094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