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BENEDEK BOZÓKY</w:t>
            </w:r>
          </w:p>
          <w:p w:rsidR="00C275A3" w:rsidRDefault="00A96AEC" w:rsidP="00C275A3">
            <w:pPr>
              <w:pStyle w:val="Hallgatokepzes"/>
            </w:pPr>
            <w:r>
              <w:t>Medicine</w:t>
            </w:r>
            <w:r>
              <w:br/>
            </w:r>
            <w:r w:rsidR="00E77B23">
              <w:t>Osztatlan, 6.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László Székely</w:t>
            </w:r>
          </w:p>
          <w:p w:rsidR="00DB4822" w:rsidRDefault="00DB4822" w:rsidP="00E11062">
            <w:pPr>
              <w:pStyle w:val="Konzulensek"/>
            </w:pPr>
            <w:r w:rsidRPr="00DB4822">
              <w:t>Professor of Haematological Malignant Diseases,  Karolinska Institutet, Department of Microbiology, Tumor and Cell Biology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rákkal asszociált fibroblaszt markerek azonosítása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Despite the relative constant environmental and endogenous mutagenesis rate of the human population, two out of three people do not suffer from clinically significant cancer during their lifetime. The most popular explanation of this phenomenon has been the existence of a strong immunological anti-tumor surveillance system in our bodies. Today it is clear that general immunological surveillance has a major role in controlling virus-induced cancers but has very limited effect on other tumor forms. On the other hand a considerable amount of data is being accumulated that point toward a systemic non-immunological surveillance mechanism.</w:t>
      </w:r>
    </w:p>
    <w:p>
      <w:pPr>
        <w:widowControl w:val="on"/>
        <w:pBdr/>
        <w:spacing w:before="240" w:after="240" w:line="240" w:lineRule="auto"/>
        <w:ind w:left="0" w:right="0"/>
        <w:jc w:val="left"/>
      </w:pPr>
      <w:r>
        <w:rPr>
          <w:color w:val="000000"/>
          <w:sz w:val="24"/>
          <w:szCs w:val="24"/>
        </w:rPr>
        <w:t xml:space="preserve">Methods: Our research group has previously shown that the majority of normal fibroblasts can exert an inhibitory effect on a variety of tumor cells when grown in mature confluent monolayers. By comparing the gene expression pattern of fibroblasts with varying inhibitory capacity our group identified over 1500 differentially expressed genes. Based on these findings I have systematically analyzed a large array of immunostained tumor samples in the Human Protein Atlas Project database.</w:t>
      </w:r>
    </w:p>
    <w:p>
      <w:pPr>
        <w:widowControl w:val="on"/>
        <w:pBdr/>
        <w:spacing w:before="240" w:after="240" w:line="240" w:lineRule="auto"/>
        <w:ind w:left="0" w:right="0"/>
        <w:jc w:val="left"/>
      </w:pPr>
      <w:r>
        <w:rPr>
          <w:color w:val="000000"/>
          <w:sz w:val="24"/>
          <w:szCs w:val="24"/>
        </w:rPr>
        <w:t xml:space="preserve">Results: The search revealed a number of genes that showed association with cancer associated fibroblasts but was absent from the fibroblasts of the corresponding normal tissues.</w:t>
      </w:r>
    </w:p>
    <w:p>
      <w:pPr>
        <w:widowControl w:val="on"/>
        <w:pBdr/>
        <w:spacing w:before="240" w:after="240" w:line="240" w:lineRule="auto"/>
        <w:ind w:left="0" w:right="0"/>
        <w:jc w:val="left"/>
      </w:pPr>
      <w:r>
        <w:rPr>
          <w:color w:val="000000"/>
          <w:sz w:val="24"/>
          <w:szCs w:val="24"/>
        </w:rPr>
        <w:t xml:space="preserve">Conclusion: Several of these markers also stained mucosal fibroblasts of the gastrointestinal track thus reinforcing the notion of similarity between cancer associated fibroblasts and myofibroblasts that are responsible for the constant slow random motion of the intestinal villi.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89609">
    <w:multiLevelType w:val="hybridMultilevel"/>
    <w:lvl w:ilvl="0" w:tplc="15703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89609">
    <w:abstractNumId w:val="89489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7010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