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GRUNDA</w:t>
            </w:r>
          </w:p>
          <w:p w:rsidR="00C275A3" w:rsidRDefault="00A96AEC" w:rsidP="00C275A3">
            <w:pPr>
              <w:pStyle w:val="Hallgatokepzes"/>
            </w:pPr>
            <w:r>
              <w:t>Deutsche Sprache, Literatur und Kultur</w:t>
            </w:r>
            <w:r>
              <w:br/>
            </w:r>
            <w:r w:rsidR="00E77B23">
              <w:t>MA, 10. semester</w:t>
            </w:r>
          </w:p>
          <w:p w:rsidR="00C265CE" w:rsidRPr="009E5FF1" w:rsidRDefault="00E77B23" w:rsidP="00C275A3">
            <w:pPr>
              <w:pStyle w:val="Hallgatokepzes"/>
              <w:rPr>
                <w:b/>
                <w:caps/>
              </w:rPr>
            </w:pPr>
            <w:r>
              <w:t>Universität Debrecen</w:t>
            </w:r>
            <w:r w:rsidR="00C275A3">
              <w:br/>
            </w:r>
            <w:r w:rsidR="00DB4822">
              <w:t>Geisteswissenschaftliche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Horváth</w:t>
            </w:r>
          </w:p>
          <w:p w:rsidR="00DB4822" w:rsidRDefault="00DB4822" w:rsidP="00E11062">
            <w:pPr>
              <w:pStyle w:val="Konzulensek"/>
            </w:pPr>
            <w:r w:rsidRPr="00DB4822">
              <w:t>Oberassistentin,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Alteritätskonstruktionen in Max Zweigs "Medea in Prag"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Resümee der Arbeit</w:t>
      </w:r>
    </w:p>
    <w:p>
      <w:pPr>
        <w:pBdr/>
        <w:spacing w:before="240" w:after="240" w:line="240" w:lineRule="auto"/>
        <w:ind w:left="0" w:right="0"/>
        <w:jc w:val="left"/>
      </w:pPr>
      <w:r>
        <w:rPr>
          <w:color w:val="000000"/>
          <w:sz w:val="24"/>
          <w:szCs w:val="24"/>
        </w:rPr>
        <w:t xml:space="preserve">Das Ziel der Arbeit besteht darin, anhand kulturwissenschaftlicher Theorien das Phänomen und die Konstruktion der Fremdheit im Drama von Max Zweig darzustellen. Medea in Prag ist zu diesem Ziel maximal geeignet, weil im Mittelpunkt der Geschichte die schwarze Berberin Leila und ihre unüberbrückbare Fremdheit gegenüber den Tschechen stehen. Dieses literarische Werk schafft also trotz ihrer Fiktionalität die Möglichkeit, kulturelle Phänomene darzustellen und zu analysieren. Im Drama werden durch die Interaktionen der Figuren die Kommunikationsfehler und -verrutschen reflektiert, woraus man auf weitere Alteritäts- bzw. Identitätskonstruktionen folgern kann. Max Zweig wollte mit seinem Werk eine Kritik an die totalitären Gesellschaften und deren Fremdenbild üben. Der Autor beschäftigt sich aber in seinem Werk authentisch und ausführlich nicht nur mit der Problematik der totalitären Regime wie Nationalsozialismus oder Kommunismus, sondern - und in dieser Arbeit soll der Schwerpunkt auf diesen Aspekt gelegt werden- er nimmt die Konstruktion der Fremdheit und des Fremdenhasses unter die Lupe. Bei Max Zweig ist die Thematisierung des Fremden als Jüdisches, Orientalisches, Zigeunerhaftes starkbetont, die alle in den Augen der „hochzivilisierten“ Menschen zu einer Einheit verschmelzen. Das Drama kann also nicht nur als Kritik an die diktatorischen Staatsysteme, sondern eigentlich auch an alle „modernen“ Staaten und dadurch an seine Bürger gelesen werden.</w:t>
      </w:r>
    </w:p>
    <w:p>
      <w:pPr>
        <w:pBdr/>
        <w:spacing w:before="240" w:after="240" w:line="240" w:lineRule="auto"/>
        <w:ind w:left="0" w:right="0"/>
        <w:jc w:val="left"/>
      </w:pPr>
      <w:r>
        <w:rPr>
          <w:color w:val="000000"/>
          <w:sz w:val="24"/>
          <w:szCs w:val="24"/>
        </w:rPr>
        <w:t xml:space="preserve">Leila und ihre Kinder werden von Anfang an als Barbaren von ihrer Umgebung behandelt. Die Kinder werden als „Jude“ und „Zigeuner“ auf der Straße genannt, Leila muss Demütigungen ertragen, wie Bezeichnungen als „Zigeunerin“, „Türkin“ oder „Kafferin“ und am Ende des Dramas sogar eine Verdächtigung eines Diebstahls.</w:t>
      </w:r>
    </w:p>
    <w:p>
      <w:pPr>
        <w:pBdr/>
        <w:spacing w:before="240" w:after="240" w:line="240" w:lineRule="auto"/>
        <w:ind w:left="0" w:right="0"/>
        <w:jc w:val="left"/>
      </w:pPr>
      <w:r>
        <w:rPr>
          <w:color w:val="000000"/>
          <w:sz w:val="24"/>
          <w:szCs w:val="24"/>
        </w:rPr>
        <w:t xml:space="preserve">Wie werden mit Hilfe literarisch-ästhetischer Techniken Identitäten und Alteritäten als performative Konstruktionen entlarvt, um sie different, dynamisch, hybrid im Spannungsfeld sprachlicher Selbst- / Fremdzuschreibungen wieder herzustellen? Wie repräsentieren sich Protagonisten sozialer, ethnischer, kultureller Minderheiten als selbstbestimmte, handlungsfähige Subjekte? Diese Fragen werden vor dem Hintergrund von Sigmund Freuds psychoanalytischen Konzept der Performativität, ergänzt durch Bernhard Waldenfels‘ Fremdheitstheorie und die postkoloniale Diskussion um Hybridität von Homo K. Bhabha in der Arbeit thematisiert.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188052">
    <w:multiLevelType w:val="hybridMultilevel"/>
    <w:lvl w:ilvl="0" w:tplc="855955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188052">
    <w:abstractNumId w:val="541880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12373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