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KEMÉNY V. LAJOS</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Venglovecz Viktória</w:t>
            </w:r>
          </w:p>
          <w:p w:rsidR="00DB4822" w:rsidRDefault="00DB4822" w:rsidP="00E11062">
            <w:pPr>
              <w:pStyle w:val="Konzulensek"/>
            </w:pPr>
            <w:r w:rsidRPr="00DB4822">
              <w:t>Tudományos Munkatárs, SZTE ÁOK</w:t>
            </w:r>
          </w:p>
        </w:tc>
      </w:tr>
      <w:tr w:rsidR="00DB4822" w:rsidTr="00DB4822">
        <w:tc>
          <w:tcPr>
            <w:tcW w:w="9854" w:type="dxa"/>
          </w:tcPr>
          <w:p w:rsidR="00DB4822" w:rsidRPr="00DB4822" w:rsidRDefault="00DB4822" w:rsidP="004D7940">
            <w:pPr>
              <w:pStyle w:val="Konzulensek"/>
            </w:pPr>
            <w:r w:rsidRPr="00DB4822">
              <w:t>Dr. Hegyi Péter</w:t>
            </w:r>
          </w:p>
          <w:p w:rsidR="00DB4822" w:rsidRDefault="00DB4822" w:rsidP="00E11062">
            <w:pPr>
              <w:pStyle w:val="Konzulensek"/>
            </w:pPr>
            <w:r w:rsidRPr="00DB4822">
              <w:t>Egyetemi Tanár, SZTE ÁOK</w:t>
            </w:r>
          </w:p>
        </w:tc>
      </w:tr>
      <w:tr w:rsidR="00DB4822" w:rsidTr="00DB4822">
        <w:tc>
          <w:tcPr>
            <w:tcW w:w="9854" w:type="dxa"/>
          </w:tcPr>
          <w:p w:rsidR="00DB4822" w:rsidRPr="00DB4822" w:rsidRDefault="00DB4822" w:rsidP="004D7940">
            <w:pPr>
              <w:pStyle w:val="Konzulensek"/>
            </w:pPr>
            <w:r w:rsidRPr="00DB4822">
              <w:t>ifj. Dr. Rakonczay Zoltán</w:t>
            </w:r>
          </w:p>
          <w:p w:rsidR="00DB4822" w:rsidRDefault="00DB4822" w:rsidP="00E11062">
            <w:pPr>
              <w:pStyle w:val="Konzulensek"/>
            </w:pPr>
            <w:r w:rsidRPr="00DB4822">
              <w:t>Tudományos Főmunkatárs,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nátrium-kálcium kicserélő szerepének vizsgálata humán gyomor myofibroblasztok kálcium homeosztázisában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humán gyomor myofibroblasztok (HGM) proliferációjában, annak szabályozásában fontos szerepe van az intracelluláris kálciumnak (Ca</w:t>
      </w:r>
      <w:r>
        <w:rPr>
          <w:color w:val="000000"/>
          <w:position w:val="4"/>
          <w:sz w:val="21"/>
          <w:szCs w:val="21"/>
          <w:vertAlign w:val="superscript"/>
        </w:rPr>
        <w:t xml:space="preserve">2+</w:t>
      </w:r>
      <w:r>
        <w:rPr>
          <w:color w:val="000000"/>
          <w:sz w:val="24"/>
          <w:szCs w:val="24"/>
        </w:rPr>
        <w:t xml:space="preserve">)</w:t>
      </w:r>
      <w:r>
        <w:rPr>
          <w:color w:val="000000"/>
          <w:position w:val="-4"/>
          <w:sz w:val="21"/>
          <w:szCs w:val="21"/>
          <w:vertAlign w:val="subscript"/>
        </w:rPr>
        <w:t xml:space="preserve">i</w:t>
      </w:r>
      <w:r>
        <w:rPr>
          <w:color w:val="000000"/>
          <w:sz w:val="24"/>
          <w:szCs w:val="24"/>
        </w:rPr>
        <w:t xml:space="preserve">. Jelen tanulmányban célul tűztük ki a HGM sejtek kálcium homeosztázisának vizsgálatát a nátrium-kálcium kicserélőre (NCX-re) vonatkozóan, illetve az NCX szerepének vizsgálatát a HGM sejtek proliferációjában, migrációjában.</w:t>
      </w:r>
    </w:p>
    <w:p>
      <w:pPr>
        <w:widowControl w:val="on"/>
        <w:pBdr/>
        <w:spacing w:before="240" w:after="240" w:line="240" w:lineRule="auto"/>
        <w:ind w:left="0" w:right="0"/>
        <w:jc w:val="left"/>
      </w:pPr>
      <w:r>
        <w:rPr>
          <w:color w:val="000000"/>
          <w:sz w:val="24"/>
          <w:szCs w:val="24"/>
        </w:rPr>
        <w:t xml:space="preserve">Módszerek: A HGM sejtek (Ca</w:t>
      </w:r>
      <w:r>
        <w:rPr>
          <w:color w:val="000000"/>
          <w:position w:val="4"/>
          <w:sz w:val="21"/>
          <w:szCs w:val="21"/>
          <w:vertAlign w:val="superscript"/>
        </w:rPr>
        <w:t xml:space="preserve">2+</w:t>
      </w:r>
      <w:r>
        <w:rPr>
          <w:color w:val="000000"/>
          <w:sz w:val="24"/>
          <w:szCs w:val="24"/>
        </w:rPr>
        <w:t xml:space="preserve">)</w:t>
      </w:r>
      <w:r>
        <w:rPr>
          <w:color w:val="000000"/>
          <w:position w:val="-4"/>
          <w:sz w:val="21"/>
          <w:szCs w:val="21"/>
          <w:vertAlign w:val="subscript"/>
        </w:rPr>
        <w:t xml:space="preserve">i</w:t>
      </w:r>
      <w:r>
        <w:rPr>
          <w:color w:val="000000"/>
          <w:sz w:val="24"/>
          <w:szCs w:val="24"/>
        </w:rPr>
        <w:t xml:space="preserve"> szintjét mikrofluorometriás módszerrel mértük. Az NCX jelenlétének igazolására PCR technikát és immuncitokémiát használtunk. Az NCX gátlás hatását a sejtek proliferációs és migrációs folyamataira a purin analóg EdU inkorporációs technikával és a „karc sebzéses” sejtvándorlási vizsgálattal végeztük. </w:t>
      </w:r>
    </w:p>
    <w:p>
      <w:pPr>
        <w:widowControl w:val="on"/>
        <w:pBdr/>
        <w:spacing w:before="240" w:after="240" w:line="240" w:lineRule="auto"/>
        <w:ind w:left="0" w:right="0"/>
        <w:jc w:val="left"/>
      </w:pPr>
      <w:r>
        <w:rPr>
          <w:color w:val="000000"/>
          <w:sz w:val="24"/>
          <w:szCs w:val="24"/>
        </w:rPr>
        <w:t xml:space="preserve">Eredmények: Mikrofluorometriás eredményeink szerint a HGM-ek jelentős része (50,38±4,35 %) kálcium oszcillációs aktivitást mutatott, mely oszcillációk teljes mértékben megszüntethetőek NCX gátlószerekkel. Az NCX jelenlétét mind PCR, mind immuncitokémia technikával kimutattuk. Proliferációs és migrációs vizsgálatok során az NCX inhibitorok alkalmazása szignifikánsan gátolta a HGM sejtek proliferációs és migrációs képességét. </w:t>
      </w:r>
    </w:p>
    <w:p>
      <w:pPr>
        <w:widowControl w:val="on"/>
        <w:pBdr/>
        <w:spacing w:before="240" w:after="240" w:line="240" w:lineRule="auto"/>
        <w:ind w:left="0" w:right="0"/>
        <w:jc w:val="left"/>
      </w:pPr>
      <w:r>
        <w:rPr>
          <w:color w:val="000000"/>
          <w:sz w:val="24"/>
          <w:szCs w:val="24"/>
        </w:rPr>
        <w:t xml:space="preserve">Megbeszélés: Eredményeink azt mutatják, hogy a NCX-ek fontos szerepet játszanak a HGM-ek proliferációjában és migrációjában, valamint a kálcium oszcillációk kialakításában. Annak eldöntése, hogy az NCX-ek milyen más csatornákkal együttműködve szabályozzák a HGM-ek kálcium homeosztázisát, további vizsgálatokat igényel.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89166">
    <w:multiLevelType w:val="hybridMultilevel"/>
    <w:lvl w:ilvl="0" w:tplc="42518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89166">
    <w:abstractNumId w:val="36089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689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