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V. KEMENY</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Viktoria Venglovecz</w:t>
            </w:r>
          </w:p>
          <w:p w:rsidR="00DB4822" w:rsidRDefault="00DB4822" w:rsidP="00E11062">
            <w:pPr>
              <w:pStyle w:val="Konzulensek"/>
            </w:pPr>
            <w:r w:rsidRPr="00DB4822">
              <w:t>Research Associate, SZTE ÁOK</w:t>
            </w:r>
          </w:p>
        </w:tc>
      </w:tr>
      <w:tr w:rsidR="00DB4822" w:rsidTr="00DB4822">
        <w:tc>
          <w:tcPr>
            <w:tcW w:w="9854" w:type="dxa"/>
          </w:tcPr>
          <w:p w:rsidR="00DB4822" w:rsidRPr="00DB4822" w:rsidRDefault="00DB4822" w:rsidP="004D7940">
            <w:pPr>
              <w:pStyle w:val="Konzulensek"/>
            </w:pPr>
            <w:r w:rsidRPr="00DB4822">
              <w:t>Dr. Peter Hegyi</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Dr. Zoltan Rakonczay Jr.</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sodium-calcium exchangers in the calcium homeostasis of human gastric myofibroblasts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Intracellular calcium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has a crucial role in the proliferation of human gastric myofibroblasts. In this study our aim was to investigate the role of sodium-calcium exchangers (NCXs) in the Ca</w:t>
      </w:r>
      <w:r>
        <w:rPr>
          <w:color w:val="000000"/>
          <w:position w:val="4"/>
          <w:sz w:val="21"/>
          <w:szCs w:val="21"/>
          <w:vertAlign w:val="superscript"/>
        </w:rPr>
        <w:t xml:space="preserve">2+</w:t>
      </w:r>
      <w:r>
        <w:rPr>
          <w:color w:val="000000"/>
          <w:sz w:val="24"/>
          <w:szCs w:val="24"/>
        </w:rPr>
        <w:t xml:space="preserve"> homeostasis, migration and proliferation of human gastric myofibroblasts (HGMs).</w:t>
      </w:r>
    </w:p>
    <w:p>
      <w:pPr>
        <w:widowControl w:val="on"/>
        <w:pBdr/>
        <w:spacing w:before="240" w:after="240" w:line="240" w:lineRule="auto"/>
        <w:ind w:left="0" w:right="0"/>
        <w:jc w:val="left"/>
      </w:pPr>
      <w:r>
        <w:rPr>
          <w:color w:val="000000"/>
          <w:sz w:val="24"/>
          <w:szCs w:val="24"/>
        </w:rPr>
        <w:t xml:space="preserve">Methods: We used microfluorometric measurements to investigate the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concentrations of HGMs, PCR analysis and immunostaining to show the presence of the NCX. The effect of NCX inhibition on the proliferation and migration of HGMs was measured by the purine analogue EdU incorporation technique and a scratch wound migration assay.</w:t>
      </w:r>
    </w:p>
    <w:p>
      <w:pPr>
        <w:widowControl w:val="on"/>
        <w:pBdr/>
        <w:spacing w:before="240" w:after="240" w:line="240" w:lineRule="auto"/>
        <w:ind w:left="0" w:right="0"/>
        <w:jc w:val="left"/>
      </w:pPr>
      <w:r>
        <w:rPr>
          <w:color w:val="000000"/>
          <w:sz w:val="24"/>
          <w:szCs w:val="24"/>
        </w:rPr>
        <w:t xml:space="preserve">Results: We showed that 50.4±4.4 % of the HGMs present Ca</w:t>
      </w:r>
      <w:r>
        <w:rPr>
          <w:color w:val="000000"/>
          <w:position w:val="4"/>
          <w:sz w:val="21"/>
          <w:szCs w:val="21"/>
          <w:vertAlign w:val="superscript"/>
        </w:rPr>
        <w:t xml:space="preserve">2+</w:t>
      </w:r>
      <w:r>
        <w:rPr>
          <w:color w:val="000000"/>
          <w:sz w:val="24"/>
          <w:szCs w:val="24"/>
        </w:rPr>
        <w:t xml:space="preserve"> oscillations, which can be inhibited by NCX inhibitors. The presence of NCX was showed by PCR analysis and immunostaining as well. NCX inhibitors significantly blocked the proliferation and migration rates of HGMs.</w:t>
      </w:r>
    </w:p>
    <w:p>
      <w:pPr>
        <w:widowControl w:val="on"/>
        <w:pBdr/>
        <w:spacing w:before="240" w:after="240" w:line="240" w:lineRule="auto"/>
        <w:ind w:left="0" w:right="0"/>
        <w:jc w:val="left"/>
      </w:pPr>
      <w:r>
        <w:rPr>
          <w:color w:val="000000"/>
          <w:sz w:val="24"/>
          <w:szCs w:val="24"/>
        </w:rPr>
        <w:t xml:space="preserve">Discussion: Our results indicate that the NCXs have an important role in the proliferation and the migration of HGMs and in the generation of Ca</w:t>
      </w:r>
      <w:r>
        <w:rPr>
          <w:color w:val="000000"/>
          <w:position w:val="4"/>
          <w:sz w:val="21"/>
          <w:szCs w:val="21"/>
          <w:vertAlign w:val="superscript"/>
        </w:rPr>
        <w:t xml:space="preserve">2+</w:t>
      </w:r>
      <w:r>
        <w:rPr>
          <w:color w:val="000000"/>
          <w:sz w:val="24"/>
          <w:szCs w:val="24"/>
        </w:rPr>
        <w:t xml:space="preserve"> oscillations. However, it still needs further investigation to determine what other ion channels are involved in the regulation of the Ca</w:t>
      </w:r>
      <w:r>
        <w:rPr>
          <w:color w:val="000000"/>
          <w:position w:val="4"/>
          <w:sz w:val="21"/>
          <w:szCs w:val="21"/>
          <w:vertAlign w:val="superscript"/>
        </w:rPr>
        <w:t xml:space="preserve">2+</w:t>
      </w:r>
      <w:r>
        <w:rPr>
          <w:color w:val="000000"/>
          <w:sz w:val="24"/>
          <w:szCs w:val="24"/>
        </w:rPr>
        <w:t xml:space="preserve"> homeostasis of HGMs.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59572">
    <w:multiLevelType w:val="hybridMultilevel"/>
    <w:lvl w:ilvl="0" w:tplc="57243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59572">
    <w:abstractNumId w:val="57559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165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