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KOZÁK</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Bari </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Dr. Eszter Farkas</w:t>
            </w:r>
          </w:p>
          <w:p w:rsidR="00DB4822" w:rsidRDefault="00DB4822" w:rsidP="00E11062">
            <w:pPr>
              <w:pStyle w:val="Konzulensek"/>
            </w:pPr>
            <w:r w:rsidRPr="00DB4822">
              <w:t>senior research fellow, SZTE ÁOK</w:t>
            </w:r>
          </w:p>
        </w:tc>
      </w:tr>
      <w:tr w:rsidR="00DB4822" w:rsidTr="00DB4822">
        <w:tc>
          <w:tcPr>
            <w:tcW w:w="9854" w:type="dxa"/>
          </w:tcPr>
          <w:p w:rsidR="00DB4822" w:rsidRPr="00DB4822" w:rsidRDefault="00DB4822" w:rsidP="004D7940">
            <w:pPr>
              <w:pStyle w:val="Konzulensek"/>
            </w:pPr>
            <w:r w:rsidRPr="00DB4822">
              <w:t>Dr. Zsófia Bere</w:t>
            </w:r>
          </w:p>
          <w:p w:rsidR="00DB4822" w:rsidRDefault="00DB4822" w:rsidP="00E11062">
            <w:pPr>
              <w:pStyle w:val="Konzulensek"/>
            </w:pPr>
            <w:r w:rsidRPr="00DB4822">
              <w:t>Ph. D. 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Multimodal imaging of peri-infarct depolarization following multifocal ischemia induced by microembolisation in the rat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term peri-infarct depolarization (PID) refers to depolarizing waves spreading across the brain tissue surrounding an area of infarct. The neuropathological effects of PIDs and related hemodynamic changes are well described in focal and global ischemic models. However, the characteristic of PIDs and associated cerebral blood flow (CBF) changes during multifocal ischemia is unknown. Our aim was to detect the spatial and temporal changes of membrane potential and hemodynamic parameters in the rat cerebral cortex in vivo during and after multiplex cerebral embolisation using a multimodal imaging system.</w:t>
      </w:r>
      <w:r>
        <w:rPr>
          <w:color w:val="000000"/>
          <w:sz w:val="24"/>
          <w:szCs w:val="24"/>
        </w:rPr>
        <w:br/>
        <w:t xml:space="preserve">Methods: Our experiments were performed on halothane anesthetized, adult male Sprague-Dawley rats (n=10). Multifocal ischemia was induced by the unilateral injection of fluorescent microspheres (7μM) through the internal carotid artery. A closed cranial window was mounted over the parietal bone for multimodal imaging. To reveal the changes in cellular membrane potential, we loaded the cranial window with a voltage sensitive dye (RH1838). The brain surface was illuminated with red and green LEDs and the reflection was detected to monitor the changes of hemoglobin saturation and local cortical blood volume. Laser speckle contrast analysis was assessed to determine CBF.</w:t>
      </w:r>
      <w:r>
        <w:rPr>
          <w:color w:val="000000"/>
          <w:sz w:val="24"/>
          <w:szCs w:val="24"/>
        </w:rPr>
        <w:br/>
        <w:t xml:space="preserve">Results: A series of PIDs appeared following embolisation starting 5-6 minutes after the microsphere injection. Based on the rate of appearance, we distinguished a group of animals with low-frequency (LF) (&gt;5 cycles/hour) PIDs, and another group with high-frequency (HF) (&lt;5 cycles/hour) PIDs. Independent of the PID focus and the direction of propagation, rats with low LF PIDs showed exclusively hyperemic responses, whereas in the HF PID group, hypoperfusion responses were most often observed.</w:t>
      </w:r>
      <w:r>
        <w:rPr>
          <w:color w:val="000000"/>
          <w:sz w:val="24"/>
          <w:szCs w:val="24"/>
        </w:rPr>
        <w:br/>
        <w:t xml:space="preserve">Conclusion: The LF PIDs coupled with hyperemia indicate intact neurovascular coupling, however, HF PIDs associated with hypoperfusion indicate inverse neurovascular coupling. The later might contribute to the irreversible damage of ischemic brain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12286">
    <w:multiLevelType w:val="hybridMultilevel"/>
    <w:lvl w:ilvl="0" w:tplc="7421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12286">
    <w:abstractNumId w:val="83112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224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