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SZEBENI ÁRON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Norbert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Részleges NCX gátlás – a Ca2+ beáramlás csökkentésével – védő hatást fejt ki Na+-indukált Ca2+ túltöltődés ellen kutya kamrai szívizomban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akciós potenciál (AP) platófázisának fenntartásában fontos szerepe van a késői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áramnak (I</w:t>
      </w:r>
      <w:r>
        <w:rPr>
          <w:color w:val="000000"/>
          <w:position w:val="-4"/>
          <w:sz w:val="21"/>
          <w:szCs w:val="21"/>
          <w:vertAlign w:val="subscript"/>
        </w:rPr>
        <w:t xml:space="preserve">NaL</w:t>
      </w:r>
      <w:r>
        <w:rPr>
          <w:color w:val="000000"/>
          <w:sz w:val="24"/>
          <w:szCs w:val="24"/>
        </w:rPr>
        <w:t xml:space="preserve">). Az áram kóros megnövekedése esetén az [Na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emelkedés és az AP időtartam (APD) megnyúlása következtében kialakuló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túltöltődés súlyos aritmiák kialakulásához vezethet. E folyamatok létrejöttében a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kicserélő (NCX) fokozott reverz transzport-aktivitása vélhetően kritikus szerepet játszik. Részleges NCX gátlás tehát védő hatású lehet a ritmuszavarok kialakulásával szemben. Célunk az NCX gátlás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indukált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túltöltődéssel szembeni protektív hatásának igazolása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ionáramokat „whole cell patch clamp” technikával, az [Ca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]i változásait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szenzitív fluoreszcens festékkel (Fluo-4) mértük kutyából izolált bal kamrai szívizomsejteken. Az AP-okat konvencionális mikroelektróda technikával regisztráltuk jobb kamrai papilláris izmokon.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2nM ATX-II hatására INaL fokozódás, APD megnyúlás és [Ca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emelkedés jött létre. Fiziológiás körülmények között 1µM SEA0400 jelentősen gátolta az NCX áramot az APD és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tranziens jelentős változása nélkül. 1µM SEA0400 előkezelés kivédte a INaL-indukált NCX áramnövekedést, továbbá részlegesen gátolta az ATX-II indukált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tranziens emelkedést. Ezzel szemben az ATX kezelést követő NCX gátlás nem befolyásolta az APD-t.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alapján valószínűnek tűnik, hogy a fokozott I</w:t>
      </w:r>
      <w:r>
        <w:rPr>
          <w:color w:val="000000"/>
          <w:position w:val="-4"/>
          <w:sz w:val="21"/>
          <w:szCs w:val="21"/>
          <w:vertAlign w:val="subscript"/>
        </w:rPr>
        <w:t xml:space="preserve">NaL</w:t>
      </w:r>
      <w:r>
        <w:rPr>
          <w:color w:val="000000"/>
          <w:sz w:val="24"/>
          <w:szCs w:val="24"/>
        </w:rPr>
        <w:t xml:space="preserve"> aktiváció esetén a reverz NCX transzport aktivitás lényeges APD megnyúlás nélkül fokozódik, azaz az NCX gátlás protektív hatása nagyrészt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homeosztázis kontrollja révén jön létre. Ezért a részleges NCX gátlás új, perspektivikus terápiás eszköz lehet a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-indukált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túltöltődés kivédésére.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13430">
    <w:multiLevelType w:val="hybridMultilevel"/>
    <w:lvl w:ilvl="0" w:tplc="66544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13430">
    <w:abstractNumId w:val="61213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716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