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SZEBENI</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Nagy, PhD</w:t>
            </w:r>
          </w:p>
          <w:p w:rsidR="00DB4822" w:rsidRDefault="00DB4822" w:rsidP="00E11062">
            <w:pPr>
              <w:pStyle w:val="Konzulensek"/>
            </w:pPr>
            <w:r w:rsidRPr="00DB4822">
              <w:t>research assistant, SZTE ÁOK</w:t>
            </w:r>
          </w:p>
        </w:tc>
      </w:tr>
      <w:tr w:rsidR="00DB4822" w:rsidTr="00DB4822">
        <w:tc>
          <w:tcPr>
            <w:tcW w:w="9854" w:type="dxa"/>
          </w:tcPr>
          <w:p w:rsidR="00DB4822" w:rsidRPr="00DB4822" w:rsidRDefault="00DB4822" w:rsidP="004D7940">
            <w:pPr>
              <w:pStyle w:val="Konzulensek"/>
            </w:pPr>
            <w:r w:rsidRPr="00DB4822">
              <w:t>András Tóth, PhD, habil.</w:t>
            </w:r>
          </w:p>
          <w:p w:rsidR="00DB4822" w:rsidRDefault="00DB4822" w:rsidP="00E11062">
            <w:pPr>
              <w:pStyle w:val="Konzulensek"/>
            </w:pPr>
            <w:r w:rsidRPr="00DB4822">
              <w:t>Senior Research Associates,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Partial inhibition of the NCX - by decreasing the Ca2+ influx - has protective effect against Na+ induced Ca2+ overload in canine ventricular myocardium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Introduction: The late Na</w:t>
      </w:r>
      <w:r>
        <w:rPr>
          <w:color w:val="000000"/>
          <w:position w:val="4"/>
          <w:sz w:val="21"/>
          <w:szCs w:val="21"/>
          <w:vertAlign w:val="superscript"/>
        </w:rPr>
        <w:t xml:space="preserve">+</w:t>
      </w:r>
      <w:r>
        <w:rPr>
          <w:color w:val="000000"/>
          <w:sz w:val="24"/>
          <w:szCs w:val="24"/>
        </w:rPr>
        <w:t xml:space="preserve"> current (I</w:t>
      </w:r>
      <w:r>
        <w:rPr>
          <w:color w:val="000000"/>
          <w:position w:val="-4"/>
          <w:sz w:val="21"/>
          <w:szCs w:val="21"/>
          <w:vertAlign w:val="subscript"/>
        </w:rPr>
        <w:t xml:space="preserve">NaL</w:t>
      </w:r>
      <w:r>
        <w:rPr>
          <w:color w:val="000000"/>
          <w:sz w:val="24"/>
          <w:szCs w:val="24"/>
        </w:rPr>
        <w:t xml:space="preserve">) has important role in maintaining the plateu phase of the action potential (AP). Excessive increase of the late Na</w:t>
      </w:r>
      <w:r>
        <w:rPr>
          <w:color w:val="000000"/>
          <w:position w:val="4"/>
          <w:sz w:val="21"/>
          <w:szCs w:val="21"/>
          <w:vertAlign w:val="superscript"/>
        </w:rPr>
        <w:t xml:space="preserve">+</w:t>
      </w:r>
      <w:r>
        <w:rPr>
          <w:color w:val="000000"/>
          <w:sz w:val="24"/>
          <w:szCs w:val="24"/>
        </w:rPr>
        <w:t xml:space="preserve">-current (I</w:t>
      </w:r>
      <w:r>
        <w:rPr>
          <w:color w:val="000000"/>
          <w:position w:val="-4"/>
          <w:sz w:val="21"/>
          <w:szCs w:val="21"/>
          <w:vertAlign w:val="subscript"/>
        </w:rPr>
        <w:t xml:space="preserve">NaL</w:t>
      </w:r>
      <w:r>
        <w:rPr>
          <w:color w:val="000000"/>
          <w:sz w:val="24"/>
          <w:szCs w:val="24"/>
        </w:rPr>
        <w:t xml:space="preserve">) often leads to severe cardiac arrhythmias by prolonging the action potential duration (APD) and by causing [Ca</w:t>
      </w:r>
      <w:r>
        <w:rPr>
          <w:color w:val="000000"/>
          <w:position w:val="-4"/>
          <w:sz w:val="19"/>
          <w:szCs w:val="19"/>
          <w:vertAlign w:val="sub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overload. The increased reverse transport activity of the Na</w:t>
      </w:r>
      <w:r>
        <w:rPr>
          <w:color w:val="000000"/>
          <w:position w:val="4"/>
          <w:sz w:val="21"/>
          <w:szCs w:val="21"/>
          <w:vertAlign w:val="superscript"/>
        </w:rPr>
        <w:t xml:space="preserve">+</w:t>
      </w:r>
      <w:r>
        <w:rPr>
          <w:color w:val="000000"/>
          <w:sz w:val="24"/>
          <w:szCs w:val="24"/>
        </w:rPr>
        <w:t xml:space="preserve">/Ca</w:t>
      </w:r>
      <w:r>
        <w:rPr>
          <w:color w:val="000000"/>
          <w:position w:val="4"/>
          <w:sz w:val="21"/>
          <w:szCs w:val="21"/>
          <w:vertAlign w:val="superscript"/>
        </w:rPr>
        <w:t xml:space="preserve">2+</w:t>
      </w:r>
      <w:r>
        <w:rPr>
          <w:color w:val="000000"/>
          <w:sz w:val="24"/>
          <w:szCs w:val="24"/>
        </w:rPr>
        <w:t xml:space="preserve">-exchanger (NCX) is supposed to have critical role in this process. Thus partial inhibition of the NCX may have protective effect against arrhitmia development. The primary aim of this study was to investigate the protective effect of the NCX inhibition against Na</w:t>
      </w:r>
      <w:r>
        <w:rPr>
          <w:color w:val="000000"/>
          <w:position w:val="4"/>
          <w:sz w:val="21"/>
          <w:szCs w:val="21"/>
          <w:vertAlign w:val="superscript"/>
        </w:rPr>
        <w:t xml:space="preserve">+</w:t>
      </w:r>
      <w:r>
        <w:rPr>
          <w:color w:val="000000"/>
          <w:sz w:val="24"/>
          <w:szCs w:val="24"/>
        </w:rPr>
        <w:t xml:space="preserve">-inducted Ca</w:t>
      </w:r>
      <w:r>
        <w:rPr>
          <w:color w:val="000000"/>
          <w:position w:val="4"/>
          <w:sz w:val="21"/>
          <w:szCs w:val="21"/>
          <w:vertAlign w:val="superscript"/>
        </w:rPr>
        <w:t xml:space="preserve">2+</w:t>
      </w:r>
      <w:r>
        <w:rPr>
          <w:color w:val="000000"/>
          <w:sz w:val="24"/>
          <w:szCs w:val="24"/>
        </w:rPr>
        <w:t xml:space="preserve"> overload.</w:t>
      </w:r>
    </w:p>
    <w:p>
      <w:pPr>
        <w:widowControl w:val="on"/>
        <w:pBdr/>
        <w:spacing w:before="240" w:after="240" w:line="240" w:lineRule="auto"/>
        <w:ind w:left="0" w:right="0"/>
        <w:jc w:val="left"/>
      </w:pPr>
      <w:r>
        <w:rPr>
          <w:color w:val="000000"/>
          <w:sz w:val="24"/>
          <w:szCs w:val="24"/>
        </w:rPr>
        <w:t xml:space="preserve">Methods: Ionic currents were determined using patch clamp technique,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shifts were monitored by a Ca</w:t>
      </w:r>
      <w:r>
        <w:rPr>
          <w:color w:val="000000"/>
          <w:position w:val="4"/>
          <w:sz w:val="21"/>
          <w:szCs w:val="21"/>
          <w:vertAlign w:val="superscript"/>
        </w:rPr>
        <w:t xml:space="preserve">2+</w:t>
      </w:r>
      <w:r>
        <w:rPr>
          <w:color w:val="000000"/>
          <w:sz w:val="24"/>
          <w:szCs w:val="24"/>
        </w:rPr>
        <w:t xml:space="preserve"> sensitive fluorescent dye (Fluo-4) on isolated canine left ventricular cells. Action potentials were recorded using conventional microelectrode technique on canine right ventricular papillary muscles.</w:t>
      </w:r>
    </w:p>
    <w:p>
      <w:pPr>
        <w:widowControl w:val="on"/>
        <w:pBdr/>
        <w:spacing w:before="240" w:after="240" w:line="240" w:lineRule="auto"/>
        <w:ind w:left="0" w:right="0"/>
        <w:jc w:val="left"/>
      </w:pPr>
      <w:r>
        <w:rPr>
          <w:color w:val="000000"/>
          <w:sz w:val="24"/>
          <w:szCs w:val="24"/>
        </w:rPr>
        <w:t xml:space="preserve">Results: 2 nM ATX markedly increased the INaL,the magnitude of the Ca</w:t>
      </w:r>
      <w:r>
        <w:rPr>
          <w:color w:val="000000"/>
          <w:position w:val="4"/>
          <w:sz w:val="21"/>
          <w:szCs w:val="21"/>
          <w:vertAlign w:val="superscript"/>
        </w:rPr>
        <w:t xml:space="preserve">2+</w:t>
      </w:r>
      <w:r>
        <w:rPr>
          <w:color w:val="000000"/>
          <w:sz w:val="24"/>
          <w:szCs w:val="24"/>
        </w:rPr>
        <w:t xml:space="preserve"> transient and considerably prolonged the APD. Under physiological conditions 1 µM SEA0400 significantly inhibited the NCX current without shortening the APD or decreasing the Ca</w:t>
      </w:r>
      <w:r>
        <w:rPr>
          <w:color w:val="000000"/>
          <w:position w:val="4"/>
          <w:sz w:val="21"/>
          <w:szCs w:val="21"/>
          <w:vertAlign w:val="superscript"/>
        </w:rPr>
        <w:t xml:space="preserve">2+</w:t>
      </w:r>
      <w:r>
        <w:rPr>
          <w:color w:val="000000"/>
          <w:sz w:val="24"/>
          <w:szCs w:val="24"/>
        </w:rPr>
        <w:t xml:space="preserve"> transient. 1 µM SEA0400 prevented the I</w:t>
      </w:r>
      <w:r>
        <w:rPr>
          <w:color w:val="000000"/>
          <w:position w:val="-4"/>
          <w:sz w:val="21"/>
          <w:szCs w:val="21"/>
          <w:vertAlign w:val="subscript"/>
        </w:rPr>
        <w:t xml:space="preserve">NaL</w:t>
      </w:r>
      <w:r>
        <w:rPr>
          <w:color w:val="000000"/>
          <w:sz w:val="24"/>
          <w:szCs w:val="24"/>
        </w:rPr>
        <w:t xml:space="preserve">-induced increase of NCX current and partially restricted the ATX-II-induced increase of the Ca</w:t>
      </w:r>
      <w:r>
        <w:rPr>
          <w:color w:val="000000"/>
          <w:position w:val="4"/>
          <w:sz w:val="21"/>
          <w:szCs w:val="21"/>
          <w:vertAlign w:val="superscript"/>
        </w:rPr>
        <w:t xml:space="preserve">2+</w:t>
      </w:r>
      <w:r>
        <w:rPr>
          <w:color w:val="000000"/>
          <w:sz w:val="24"/>
          <w:szCs w:val="24"/>
        </w:rPr>
        <w:t xml:space="preserve"> transient. In contrast, NCX inhibition after ATX-II administration did not have significant effect on the APD.</w:t>
      </w:r>
    </w:p>
    <w:p>
      <w:pPr>
        <w:widowControl w:val="on"/>
        <w:pBdr/>
        <w:spacing w:before="240" w:after="240" w:line="240" w:lineRule="auto"/>
        <w:ind w:left="0" w:right="0"/>
        <w:jc w:val="left"/>
      </w:pPr>
      <w:r>
        <w:rPr>
          <w:color w:val="000000"/>
          <w:sz w:val="24"/>
          <w:szCs w:val="24"/>
        </w:rPr>
        <w:t xml:space="preserve">Conclusions: Based on our results it seems likely that the reverse NCX transport activity increases without significant APD prolongation in case of elevated I</w:t>
      </w:r>
      <w:r>
        <w:rPr>
          <w:color w:val="000000"/>
          <w:position w:val="-4"/>
          <w:sz w:val="21"/>
          <w:szCs w:val="21"/>
          <w:vertAlign w:val="subscript"/>
        </w:rPr>
        <w:t xml:space="preserve">NaL</w:t>
      </w:r>
      <w:r>
        <w:rPr>
          <w:color w:val="000000"/>
          <w:sz w:val="24"/>
          <w:szCs w:val="24"/>
        </w:rPr>
        <w:t xml:space="preserve">, i.e. the protective effect of the inhibition of the NCX mostly based on the control of the Ca</w:t>
      </w:r>
      <w:r>
        <w:rPr>
          <w:color w:val="000000"/>
          <w:position w:val="4"/>
          <w:sz w:val="21"/>
          <w:szCs w:val="21"/>
          <w:vertAlign w:val="superscript"/>
        </w:rPr>
        <w:t xml:space="preserve">2+</w:t>
      </w:r>
      <w:r>
        <w:rPr>
          <w:color w:val="000000"/>
          <w:sz w:val="24"/>
          <w:szCs w:val="24"/>
        </w:rPr>
        <w:t xml:space="preserve"> homeostasis. Thus the partial inhibition of the NCX may provide a new, therapeutic possibility against Na</w:t>
      </w:r>
      <w:r>
        <w:rPr>
          <w:color w:val="000000"/>
          <w:position w:val="4"/>
          <w:sz w:val="21"/>
          <w:szCs w:val="21"/>
          <w:vertAlign w:val="superscript"/>
        </w:rPr>
        <w:t xml:space="preserve">+</w:t>
      </w:r>
      <w:r>
        <w:rPr>
          <w:color w:val="000000"/>
          <w:sz w:val="24"/>
          <w:szCs w:val="24"/>
        </w:rPr>
        <w:t xml:space="preserve">-Ca</w:t>
      </w:r>
      <w:r>
        <w:rPr>
          <w:color w:val="000000"/>
          <w:position w:val="4"/>
          <w:sz w:val="21"/>
          <w:szCs w:val="21"/>
          <w:vertAlign w:val="superscript"/>
        </w:rPr>
        <w:t xml:space="preserve">2+ </w:t>
      </w:r>
      <w:r>
        <w:rPr>
          <w:color w:val="000000"/>
          <w:sz w:val="24"/>
          <w:szCs w:val="24"/>
        </w:rPr>
        <w:t xml:space="preserve">overload-inducted arrhitmias.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5879">
    <w:multiLevelType w:val="hybridMultilevel"/>
    <w:lvl w:ilvl="0" w:tplc="65061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5879">
    <w:abstractNumId w:val="58415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826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