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ALÁCS</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Janáky, MD PhD</w:t>
            </w:r>
          </w:p>
          <w:p w:rsidR="00DB4822" w:rsidRDefault="00DB4822" w:rsidP="00E11062">
            <w:pPr>
              <w:pStyle w:val="Konzulensek"/>
            </w:pPr>
            <w:r w:rsidRPr="00DB4822">
              <w:t>professor, SZTE ÁOK</w:t>
            </w:r>
          </w:p>
        </w:tc>
      </w:tr>
      <w:tr w:rsidR="00DB4822" w:rsidTr="00DB4822">
        <w:tc>
          <w:tcPr>
            <w:tcW w:w="9854" w:type="dxa"/>
          </w:tcPr>
          <w:p w:rsidR="00DB4822" w:rsidRPr="00DB4822" w:rsidRDefault="00DB4822" w:rsidP="004D7940">
            <w:pPr>
              <w:pStyle w:val="Konzulensek"/>
            </w:pPr>
            <w:r w:rsidRPr="00DB4822">
              <w:t>Krisztina Bencsik, MD PhD</w:t>
            </w:r>
          </w:p>
          <w:p w:rsidR="00DB4822" w:rsidRDefault="00DB4822" w:rsidP="00E11062">
            <w:pPr>
              <w:pStyle w:val="Konzulensek"/>
            </w:pPr>
            <w:r w:rsidRPr="00DB4822">
              <w:t>associate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Detection of axonal damage in multiple sclerosis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latest studies concerning MS have reported optical coherence tomography (OCT) detected thinning of the retinal nerve fiber layer even after short disease duration. Our aim was to evaluate the functional deterioration of the ganglion cells and their axons in the retina with the help of electrophysiological methods regarding duration of the disease.</w:t>
      </w:r>
    </w:p>
    <w:p>
      <w:pPr>
        <w:widowControl w:val="on"/>
        <w:pBdr/>
        <w:spacing w:before="240" w:after="240" w:line="240" w:lineRule="auto"/>
        <w:ind w:left="0" w:right="0"/>
        <w:jc w:val="left"/>
      </w:pPr>
      <w:r>
        <w:rPr>
          <w:color w:val="000000"/>
          <w:sz w:val="24"/>
          <w:szCs w:val="24"/>
        </w:rPr>
        <w:t xml:space="preserve">Methods: Visual evoked potential (VEP) and pattern electroretinogram (PERG) findings of 42 patients with MS and 27 patients with isolated optic neuritis (ON) were analyzed retrospectively. The patients presented in the last two years at the Department of Ophthalmology of University of Szeged. Both VEP and PERG were recorded according to the International Society for Clinical Electrophysiology of Vision (ISCEV) standards with Roland (Wiesbaden, Germany) RETI-Port system.</w:t>
      </w:r>
    </w:p>
    <w:p>
      <w:pPr>
        <w:widowControl w:val="on"/>
        <w:pBdr/>
        <w:spacing w:before="240" w:after="240" w:line="240" w:lineRule="auto"/>
        <w:ind w:left="0" w:right="0"/>
        <w:jc w:val="left"/>
      </w:pPr>
      <w:r>
        <w:rPr>
          <w:color w:val="000000"/>
          <w:sz w:val="24"/>
          <w:szCs w:val="24"/>
        </w:rPr>
        <w:t xml:space="preserve">Results: Delayed VEP latency, that indicates demyelination, occurred in 32 MS cases (76.2%), 15 of which were detected within 36 months (average 13±11 months) after the first attack and in 10 cases later (average 93±44 months). Reduced PERG amplitude ratio, that indicates axonal damage of the ganglion cells, was found in 17 MS cases (40.5%), 7 of which appeared within 36 months (average 16±14 months) after the first attack and 7 appeared later (average 59±9 months). In 7 (VEP) and in further 3 (PERG) cases the findings were not evaluated because of the unregular examinations. Abnormal PERG was found in 9 ON cases (33.3%) and each one appeared within 2 months after the first attack.</w:t>
      </w:r>
    </w:p>
    <w:p>
      <w:pPr>
        <w:widowControl w:val="on"/>
        <w:pBdr/>
        <w:spacing w:before="240" w:after="240" w:line="240" w:lineRule="auto"/>
        <w:ind w:left="0" w:right="0"/>
        <w:jc w:val="left"/>
      </w:pPr>
      <w:r>
        <w:rPr>
          <w:color w:val="000000"/>
          <w:sz w:val="24"/>
          <w:szCs w:val="24"/>
        </w:rPr>
        <w:t xml:space="preserve">Conclusion: According to our results not only demyelination, but also axonal damage has to be considered both in MS and in ON, which can be measured detachedly with PERG. It can provide further information about the disease processes and can help to evaluate the possible therapeutic options.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29673">
    <w:multiLevelType w:val="hybridMultilevel"/>
    <w:lvl w:ilvl="0" w:tplc="436593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29673">
    <w:abstractNumId w:val="881296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52809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