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KÁLMÁN SÁRA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Janka Zoltán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Mirnics Károly</w:t>
            </w:r>
          </w:p>
          <w:p w:rsidR="00DB4822" w:rsidRDefault="00DB4822" w:rsidP="00E11062">
            <w:pPr>
              <w:pStyle w:val="Konzulensek"/>
            </w:pPr>
            <w:r w:rsidRPr="00DB4822">
              <w:t>vendég professzor,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Szkizofrénia az anyai immunaktiválódás révén? Crystallinoktól a krisztallizációig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prenatális infekció a szkizofrénia rizikófaktora. A maternális immunaktiváció (MIA) a szkizofréniára jellemző neuropathológiai elváltozások és viselkedési tünetek megjelenéséhez vezet állatmodellben, melynek molekuláris mechanizmusa még ismeretlen. Fő célunk a MIA indukált génexpressziós változások követése volt embrionális egér agyban.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terhes állatokat 4 csoportba osztottuk (n</w:t>
      </w:r>
      <w:r>
        <w:rPr>
          <w:color w:val="000000"/>
          <w:position w:val="-4"/>
          <w:sz w:val="21"/>
          <w:szCs w:val="21"/>
          <w:vertAlign w:val="subscript"/>
        </w:rPr>
        <w:t xml:space="preserve">anya</w:t>
      </w:r>
      <w:r>
        <w:rPr>
          <w:color w:val="000000"/>
          <w:sz w:val="24"/>
          <w:szCs w:val="24"/>
        </w:rPr>
        <w:t xml:space="preserve">=4-5/csoport): (1) FLU = influenza vírus inokuláció (6000pfu/állat, E9.5 nap); (2) poly(I:C) = szintetikus virális dsRNS analóg (20mg/tskg, E12.5 nap); (3) IL-6 = rekombináns egér IL-6 (5µg/állat, E12.5 nap); (4) CNT = fiziológiás sóoldat injekció (5µl/g, E12.5 nap). Az E12.5 napon a teljes embrionális agyakból RNS-t izoláltunk, majd DNS microarray-jel mértük az egy alomra jellemző génexpressziós profilt és real-time qPCR-ral az egyes embriók crystallin alfa-A, béta-A és béta-B mRNS mennyiségeit (n</w:t>
      </w:r>
      <w:r>
        <w:rPr>
          <w:color w:val="000000"/>
          <w:position w:val="-4"/>
          <w:sz w:val="21"/>
          <w:szCs w:val="21"/>
          <w:vertAlign w:val="subscript"/>
        </w:rPr>
        <w:t xml:space="preserve">embrió</w:t>
      </w:r>
      <w:r>
        <w:rPr>
          <w:color w:val="000000"/>
          <w:sz w:val="24"/>
          <w:szCs w:val="24"/>
        </w:rPr>
        <w:t xml:space="preserve">=138).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Bár DNS microarray adataink szerint valamennyi MIA kezelés fokozza a crystallin géncsalád transzkripcióját, a qPCR-ral végzett validálás rámutatott, hogy a MIA kezelt embrióknál jelentős, a CNT csoportnál nagyobb mértékű egyéni génexpressziós variabilitást figyelhető meg (SD</w:t>
      </w:r>
      <w:r>
        <w:rPr>
          <w:color w:val="000000"/>
          <w:position w:val="-4"/>
          <w:sz w:val="21"/>
          <w:szCs w:val="21"/>
          <w:vertAlign w:val="subscript"/>
        </w:rPr>
        <w:t xml:space="preserve">FLU</w:t>
      </w:r>
      <w:r>
        <w:rPr>
          <w:color w:val="000000"/>
          <w:sz w:val="24"/>
          <w:szCs w:val="24"/>
        </w:rPr>
        <w:t xml:space="preserve">=2.8; SD</w:t>
      </w:r>
      <w:r>
        <w:rPr>
          <w:color w:val="000000"/>
          <w:position w:val="-4"/>
          <w:sz w:val="21"/>
          <w:szCs w:val="21"/>
          <w:vertAlign w:val="subscript"/>
        </w:rPr>
        <w:t xml:space="preserve">poly(I:C)</w:t>
      </w:r>
      <w:r>
        <w:rPr>
          <w:color w:val="000000"/>
          <w:sz w:val="24"/>
          <w:szCs w:val="24"/>
        </w:rPr>
        <w:t xml:space="preserve">=2.3; SD</w:t>
      </w:r>
      <w:r>
        <w:rPr>
          <w:color w:val="000000"/>
          <w:position w:val="-4"/>
          <w:sz w:val="21"/>
          <w:szCs w:val="21"/>
          <w:vertAlign w:val="subscript"/>
        </w:rPr>
        <w:t xml:space="preserve">IL-6</w:t>
      </w:r>
      <w:r>
        <w:rPr>
          <w:color w:val="000000"/>
          <w:sz w:val="24"/>
          <w:szCs w:val="24"/>
        </w:rPr>
        <w:t xml:space="preserve">=2.5; SD</w:t>
      </w:r>
      <w:r>
        <w:rPr>
          <w:color w:val="000000"/>
          <w:position w:val="-4"/>
          <w:sz w:val="21"/>
          <w:szCs w:val="21"/>
          <w:vertAlign w:val="subscript"/>
        </w:rPr>
        <w:t xml:space="preserve">CNT</w:t>
      </w:r>
      <w:r>
        <w:rPr>
          <w:color w:val="000000"/>
          <w:sz w:val="24"/>
          <w:szCs w:val="24"/>
        </w:rPr>
        <w:t xml:space="preserve">=1.6). qPCR adataink szerint csak a 3 napos FLU infekció vezet szignifikáns crystallin overexpresszióhoz, az embrióknak 42%-át érintve. A crystallin kifejeződés nem mutatott összefüggést sem a placenta tömegével, sem az embrió méhen belüli elhelyezkedésével.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irodalomban először detektáltuk a crystallin expressziót az embrionális agyban. A crystallinok védő szerepe ismert az immunindukált sejt-stresszben, így elméletünk szerint, a MIA kiváltotta crystallin overexpresszió jótékony, adaptív válasza lehet az embrionális agynak. Irodalmi adatok híján azonban az sem zárható ki, hogy kedvezőtlenül befolyásolja az idegrendszer fejlődését. Kísérletünk felhívja a figyelmet arra, hogy a crystallin-válasz egy akut, de nem hiperakut reakció, valamint a széles körben alkalmazott MIA-kezelések közötti különbségekre. A MIA-kezelt embriók közötti jelentős egyéni génexpresszió variabilitás eddig ismeretlen moduláló faktorok szerepére utal az anyai immunaktiválódás és az embrionális idegfejlődés, így talán a szkizofrénia kölcsönhatásában.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NIH R01 MH067234 (KM).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608748">
    <w:multiLevelType w:val="hybridMultilevel"/>
    <w:lvl w:ilvl="0" w:tplc="81618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608748">
    <w:abstractNumId w:val="846087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90158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