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KÁLMÁN</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Janka M.D., Ph.D.</w:t>
            </w:r>
          </w:p>
          <w:p w:rsidR="00DB4822" w:rsidRDefault="00DB4822" w:rsidP="00E11062">
            <w:pPr>
              <w:pStyle w:val="Konzulensek"/>
            </w:pPr>
            <w:r w:rsidRPr="00DB4822">
              <w:t>professor, SZTE ÁOK</w:t>
            </w:r>
          </w:p>
        </w:tc>
      </w:tr>
      <w:tr w:rsidR="00DB4822" w:rsidTr="00DB4822">
        <w:tc>
          <w:tcPr>
            <w:tcW w:w="9854" w:type="dxa"/>
          </w:tcPr>
          <w:p w:rsidR="00DB4822" w:rsidRPr="00DB4822" w:rsidRDefault="00DB4822" w:rsidP="004D7940">
            <w:pPr>
              <w:pStyle w:val="Konzulensek"/>
            </w:pPr>
            <w:r w:rsidRPr="00DB4822">
              <w:t>Károly Mirnics M.D., Ph.D.</w:t>
            </w:r>
          </w:p>
          <w:p w:rsidR="00DB4822" w:rsidRDefault="00DB4822" w:rsidP="00E11062">
            <w:pPr>
              <w:pStyle w:val="Konzulensek"/>
            </w:pPr>
            <w:r w:rsidRPr="00DB4822">
              <w:t>visiting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Schizophrenia through maternal immune activation? From crytallins to crystallization.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Epidemiological studies suggest that infections during pregnancy can increase the risk of schizophrenia. Maternal immune activation (MIA) leads to schizophrenia-related behavioral and neuropathological changes in mice, however, the exact molecular mechanism still remains unknown. Our aim was to determine the MIA induced gene expression changes in the fetal mouse brain.</w:t>
      </w:r>
    </w:p>
    <w:p>
      <w:pPr>
        <w:widowControl w:val="on"/>
        <w:pBdr/>
        <w:spacing w:before="240" w:after="240" w:line="240" w:lineRule="auto"/>
        <w:ind w:left="0" w:right="0"/>
        <w:jc w:val="left"/>
      </w:pPr>
      <w:r>
        <w:rPr>
          <w:color w:val="000000"/>
          <w:sz w:val="24"/>
          <w:szCs w:val="24"/>
        </w:rPr>
        <w:t xml:space="preserve">Methods: Pregnant mice were divided into four groups (n</w:t>
      </w:r>
      <w:r>
        <w:rPr>
          <w:color w:val="000000"/>
          <w:position w:val="-4"/>
          <w:sz w:val="21"/>
          <w:szCs w:val="21"/>
          <w:vertAlign w:val="subscript"/>
        </w:rPr>
        <w:t xml:space="preserve">dam</w:t>
      </w:r>
      <w:r>
        <w:rPr>
          <w:color w:val="000000"/>
          <w:sz w:val="24"/>
          <w:szCs w:val="24"/>
        </w:rPr>
        <w:t xml:space="preserve">=4-5/group): (1) FLU = human influenza virus inoculation on E9.5 (6000 pfu/mouse); (2) poly(I:C) = intraperitoneal injection of synthetic viral dsRNA on E12.5 (20mg/kg); (3) IL-6 = mouse recombinant IL-6 injection on E12.5 (5µg/mouse) and (4) CNT = saline injection on E12.5 (5µl/g). Total cell RNA was isolated from the embryonic brains on day E12.5. The isolated RNA was pooled from the embryos within the same litter and analyzed using DNA microarrays. To verify our results, relative crystallin alpha-A, beta-A, beta-B (cryaa, cryba, crybb) mRNA levels were determined in the individual embryos with real-time qPCR (n</w:t>
      </w:r>
      <w:r>
        <w:rPr>
          <w:color w:val="000000"/>
          <w:position w:val="-4"/>
          <w:sz w:val="21"/>
          <w:szCs w:val="21"/>
          <w:vertAlign w:val="subscript"/>
        </w:rPr>
        <w:t xml:space="preserve">embryo</w:t>
      </w: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Results: Although data analysis revealed a strong and consistent upregulation of the crystallin gene family across all MIA treatments, the qPCR results showed a remarkable variability in cystallin expression across the MIA-treated embryos with increased variance compared to the CNT group (SD</w:t>
      </w:r>
      <w:r>
        <w:rPr>
          <w:color w:val="000000"/>
          <w:position w:val="-4"/>
          <w:sz w:val="21"/>
          <w:szCs w:val="21"/>
          <w:vertAlign w:val="subscript"/>
        </w:rPr>
        <w:t xml:space="preserve">FLU</w:t>
      </w:r>
      <w:r>
        <w:rPr>
          <w:color w:val="000000"/>
          <w:sz w:val="24"/>
          <w:szCs w:val="24"/>
        </w:rPr>
        <w:t xml:space="preserve">=2.8; SD</w:t>
      </w:r>
      <w:r>
        <w:rPr>
          <w:color w:val="000000"/>
          <w:position w:val="-4"/>
          <w:sz w:val="21"/>
          <w:szCs w:val="21"/>
          <w:vertAlign w:val="subscript"/>
        </w:rPr>
        <w:t xml:space="preserve">poly(I:C)</w:t>
      </w:r>
      <w:r>
        <w:rPr>
          <w:color w:val="000000"/>
          <w:sz w:val="24"/>
          <w:szCs w:val="24"/>
        </w:rPr>
        <w:t xml:space="preserve">=2.3; SD</w:t>
      </w:r>
      <w:r>
        <w:rPr>
          <w:color w:val="000000"/>
          <w:position w:val="-4"/>
          <w:sz w:val="21"/>
          <w:szCs w:val="21"/>
          <w:vertAlign w:val="subscript"/>
        </w:rPr>
        <w:t xml:space="preserve">IL-6</w:t>
      </w:r>
      <w:r>
        <w:rPr>
          <w:color w:val="000000"/>
          <w:sz w:val="24"/>
          <w:szCs w:val="24"/>
        </w:rPr>
        <w:t xml:space="preserve">=2.5; SD</w:t>
      </w:r>
      <w:r>
        <w:rPr>
          <w:color w:val="000000"/>
          <w:position w:val="-4"/>
          <w:sz w:val="21"/>
          <w:szCs w:val="21"/>
          <w:vertAlign w:val="subscript"/>
        </w:rPr>
        <w:t xml:space="preserve">CNT</w:t>
      </w:r>
      <w:r>
        <w:rPr>
          <w:color w:val="000000"/>
          <w:sz w:val="24"/>
          <w:szCs w:val="24"/>
        </w:rPr>
        <w:t xml:space="preserve">=1.6). Only the three-day FLU infection caused significant crystallin overexpression in 42% of the embryos. Importantly, brain crystallin transcription was not associated with placental weight or the position of the fetus in the uterus.</w:t>
      </w:r>
    </w:p>
    <w:p>
      <w:pPr>
        <w:widowControl w:val="on"/>
        <w:pBdr/>
        <w:spacing w:before="240" w:after="240" w:line="240" w:lineRule="auto"/>
        <w:ind w:left="0" w:right="0"/>
        <w:jc w:val="left"/>
      </w:pPr>
      <w:r>
        <w:rPr>
          <w:color w:val="000000"/>
          <w:sz w:val="24"/>
          <w:szCs w:val="24"/>
        </w:rPr>
        <w:t xml:space="preserve">Conclusion: First in the literature we detected the crystallin expression in the fetal brain. Considering the protective role of crystallins in the immune-induced cell stress, we assume that MIA caused crystallin upregulation represents a beneficial, adaptive response in the fetal brain that counteracts the detrimental effects during pregnancy. Our experiment suggests that crystallin-response is an acute but not hyperacute reaction and highlights the differences among widely used MIA treatments. The great individual gene expression variability refers to the role of unknown modulating factors in the interaction of the maternal immune system and embryonic neurodevelopment, and may be schizophrenia.</w:t>
      </w:r>
    </w:p>
    <w:p>
      <w:pPr>
        <w:widowControl w:val="on"/>
        <w:pBdr/>
        <w:spacing w:before="240" w:after="240" w:line="240" w:lineRule="auto"/>
        <w:ind w:left="0" w:right="0"/>
        <w:jc w:val="left"/>
      </w:pPr>
      <w:r>
        <w:rPr>
          <w:color w:val="000000"/>
          <w:sz w:val="24"/>
          <w:szCs w:val="24"/>
        </w:rPr>
        <w:t xml:space="preserve">Grant support: NIH R01 MH067234 (KM).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16290">
    <w:multiLevelType w:val="hybridMultilevel"/>
    <w:lvl w:ilvl="0" w:tplc="44955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16290">
    <w:abstractNumId w:val="470162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188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