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KIS</w:t>
            </w:r>
          </w:p>
          <w:p w:rsidR="00C275A3" w:rsidRDefault="00A96AEC" w:rsidP="00C275A3">
            <w:pPr>
              <w:pStyle w:val="Hallgatokepzes"/>
            </w:pPr>
            <w:r>
              <w:t>general medicine</w:t>
            </w:r>
            <w:r>
              <w:br/>
            </w:r>
            <w:r w:rsidR="00E77B23">
              <w:t>Unified, 6.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MARTON PIPICZ</w:t>
            </w:r>
          </w:p>
          <w:p w:rsidR="00DB4822" w:rsidRDefault="00C275A3" w:rsidP="004D7940">
            <w:pPr>
              <w:pStyle w:val="Hallgatokepzes"/>
            </w:pPr>
            <w:r>
              <w:t>General Medicine</w:t>
            </w:r>
            <w:r w:rsidR="00A96AEC">
              <w:br/>
              <w:t>Unified, 12.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Márta Sárközy MD</w:t>
            </w:r>
          </w:p>
          <w:p w:rsidR="00DB4822" w:rsidRDefault="00DB4822" w:rsidP="00E11062">
            <w:pPr>
              <w:pStyle w:val="Konzulensek"/>
            </w:pPr>
            <w:r w:rsidRPr="00DB4822">
              <w:t>PhD Student, SZTE ÁOK</w:t>
            </w:r>
          </w:p>
        </w:tc>
      </w:tr>
      <w:tr w:rsidR="00DB4822" w:rsidTr="00DB4822">
        <w:tc>
          <w:tcPr>
            <w:tcW w:w="9854" w:type="dxa"/>
          </w:tcPr>
          <w:p w:rsidR="00DB4822" w:rsidRPr="00DB4822" w:rsidRDefault="00DB4822" w:rsidP="004D7940">
            <w:pPr>
              <w:pStyle w:val="Konzulensek"/>
            </w:pPr>
            <w:r w:rsidRPr="00DB4822">
              <w:t>Gabriella F. Kocsis PhD</w:t>
            </w:r>
          </w:p>
          <w:p w:rsidR="00DB4822" w:rsidRDefault="00DB4822" w:rsidP="00E11062">
            <w:pPr>
              <w:pStyle w:val="Konzulensek"/>
            </w:pPr>
            <w:r w:rsidRPr="00DB4822">
              <w:t>chemist, SZTE ÁOK</w:t>
            </w:r>
          </w:p>
        </w:tc>
      </w:tr>
      <w:tr w:rsidR="00DB4822" w:rsidTr="00DB4822">
        <w:tc>
          <w:tcPr>
            <w:tcW w:w="9854" w:type="dxa"/>
          </w:tcPr>
          <w:p w:rsidR="00DB4822" w:rsidRPr="00DB4822" w:rsidRDefault="00DB4822" w:rsidP="004D7940">
            <w:pPr>
              <w:pStyle w:val="Konzulensek"/>
            </w:pPr>
            <w:r w:rsidRPr="00DB4822">
              <w:t>Tamás Csont MD, PhD</w:t>
            </w:r>
          </w:p>
          <w:p w:rsidR="00DB4822" w:rsidRDefault="00DB4822" w:rsidP="00E11062">
            <w:pPr>
              <w:pStyle w:val="Konzulensek"/>
            </w:pPr>
            <w:r w:rsidRPr="00DB4822">
              <w:t>associated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Ischemic preconditioning protects the heart in a prolonged uremic condition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Metabolic diseases such as hyperlipidemia and diabetes attenuate the cardioprotective effect of ischemic preconditioning. In the present study, we examined whether another metabolic disease, prolonged uremia, affects cardioprotection by ischemic preconditioning.</w:t>
      </w:r>
      <w:r>
        <w:rPr>
          <w:color w:val="000000"/>
          <w:sz w:val="24"/>
          <w:szCs w:val="24"/>
        </w:rPr>
        <w:br/>
        <w:t xml:space="preserve">Methods: Male Wistar rats underwent sham operation or partial (5/6) nephrectomy in order to induce chronic renal failure. Transthoracic echocardiography was performed to monitor cardiac function and serum urea as well as creatinine levels were measured in order to verify the development of uremia 7 months after surgery. Then hearts of nephrectomized and sham-operated rats were isolated and subjected to a 30-min coronary occlusion followed by 120 min reperfusion with or without preceding preconditioning (3X5 min ischemia/reperfusion).</w:t>
      </w:r>
      <w:r>
        <w:rPr>
          <w:color w:val="000000"/>
          <w:sz w:val="24"/>
          <w:szCs w:val="24"/>
        </w:rPr>
        <w:br/>
        <w:t xml:space="preserve">Results: In nephrectomized rats, serum urea and creatinine levels were significantly increased as compared to sham-operated controls (9.0±1.0 vs. 6.2±1.7 mmol/l, pConclusions: We conclude that although prolonged experimental uremia leads to severe metabolic changes and the development of a mild myocardial dysfunction, the cardioprotective effect of ischemic preconditioning is still preserved and infarct size is not affected significantly by nephrectomy itself.</w:t>
      </w:r>
      <w:r>
        <w:rPr>
          <w:color w:val="000000"/>
          <w:sz w:val="24"/>
          <w:szCs w:val="24"/>
        </w:rPr>
        <w:br/>
        <w:t xml:space="preserve">Grant support: Baross (DA_TECH_07-METABBET), TÁMOP-4.2.2-08/1/2008-0013, HuRo Transmed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52470">
    <w:multiLevelType w:val="hybridMultilevel"/>
    <w:lvl w:ilvl="0" w:tplc="49865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52470">
    <w:abstractNumId w:val="86752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5317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