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LENKE BÁLINT</w:t>
            </w:r>
          </w:p>
          <w:p w:rsidR="00C275A3" w:rsidRDefault="00A96AEC" w:rsidP="00C275A3">
            <w:pPr>
              <w:pStyle w:val="Hallgatokepzes"/>
            </w:pPr>
            <w:r>
              <w:t>medicine</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EMILIA MAKHAJDA</w:t>
            </w:r>
          </w:p>
          <w:p w:rsidR="00DB4822" w:rsidRDefault="00C275A3" w:rsidP="004D7940">
            <w:pPr>
              <w:pStyle w:val="Hallgatokepzes"/>
            </w:pPr>
            <w:r>
              <w:t>medicine</w:t>
            </w:r>
            <w:r w:rsidR="00A96AEC">
              <w:br/>
              <w:t>Unified, 10.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Tiszai M.D.</w:t>
            </w:r>
          </w:p>
          <w:p w:rsidR="00DB4822" w:rsidRDefault="00DB4822" w:rsidP="00E11062">
            <w:pPr>
              <w:pStyle w:val="Konzulensek"/>
            </w:pPr>
            <w:r w:rsidRPr="00DB4822">
              <w:t>clinical specialist,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the modified marsh classification, the clinical symptoms and laboratory parameters in coeliac disease (CD)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The incidence ofcoeliac disease (CD) is increased in the latest years. Patients usually do not have serious gastrointestinal symptoms and it is often diagnosed after a delay. The diagnosis of CD is based on intestinal biopsy evaluated by Marsh classification and presence of antitissue transglutaminase (TTG) antibody.</w:t>
      </w:r>
    </w:p>
    <w:p>
      <w:pPr>
        <w:widowControl w:val="on"/>
        <w:pBdr/>
        <w:spacing w:before="240" w:after="240" w:line="240" w:lineRule="auto"/>
        <w:ind w:left="0" w:right="0"/>
        <w:jc w:val="left"/>
      </w:pPr>
      <w:r>
        <w:rPr>
          <w:color w:val="000000"/>
          <w:sz w:val="24"/>
          <w:szCs w:val="24"/>
        </w:rPr>
        <w:t xml:space="preserve">Methods: All the patients were evaluated on the basis of histopathology, thus classified as mucosal mild (Marsh 3a), moderate (Marsh 3b) or complete (Marsh 3c) atrophy of villi. This classification was compared with the gastrointestinal symptoms, the antitissue transglutaminase (TTG) antibody positivity and other laboratory parameters.</w:t>
      </w:r>
    </w:p>
    <w:p>
      <w:pPr>
        <w:widowControl w:val="on"/>
        <w:pBdr/>
        <w:spacing w:before="240" w:after="240" w:line="240" w:lineRule="auto"/>
        <w:ind w:left="0" w:right="0"/>
        <w:jc w:val="left"/>
      </w:pPr>
      <w:r>
        <w:rPr>
          <w:color w:val="000000"/>
          <w:sz w:val="24"/>
          <w:szCs w:val="24"/>
        </w:rPr>
        <w:t xml:space="preserve">Results: The total number of the cases in the 5 years (2005-2010) was 186 (female: 161, male: 25). The mucosal atrophy graded by Marsh score: 78/186 (42%) of the patients belong to group Marsh 3a, 44/186 (24%) to Marsh 3b and 64/186 (34%) to group Marsh 3c. The main symptoms -diarrhoea and abdominal pain- occurred in 73% patients, but 27% patients were symptoms free. According to Marsh classification: 74% of the patients with Marsh 3a, 73% with Marsh 3b and 72% with Marsh 3c noticed the main symptoms, while approximately 27% of the patients were symptom-free in all three groups. The antitissue transglutaminase (TTG) antibody was negative in 16% of the patients with Marsh 3a atrophy, and much fewer (2,3-1,5%) negative results were found in patients with Marsh 3b and 3c group. There was high improvement in clinical symptoms 93% in patients with Marsh 3a similarly to groups Marsh 3b and 3c on gluten free diet.</w:t>
      </w:r>
    </w:p>
    <w:p>
      <w:pPr>
        <w:widowControl w:val="on"/>
        <w:pBdr/>
        <w:spacing w:before="240" w:after="240" w:line="240" w:lineRule="auto"/>
        <w:ind w:left="0" w:right="0"/>
        <w:jc w:val="left"/>
      </w:pPr>
      <w:r>
        <w:rPr>
          <w:color w:val="000000"/>
          <w:sz w:val="24"/>
          <w:szCs w:val="24"/>
        </w:rPr>
        <w:t xml:space="preserve">Conclusion: There is no difference in the severity of the mucosal atrophy between patients with gastrointestinal symptoms and symptom-free patients. But the higher rate of TTG negativity in Marsh 3a group shows that the gold standard of the diagnosis of CD is unalterably the histological examination.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59650">
    <w:multiLevelType w:val="hybridMultilevel"/>
    <w:lvl w:ilvl="0" w:tplc="821290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59650">
    <w:abstractNumId w:val="926596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99877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