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MÉSZÁROS</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Baráth PhD</w:t>
            </w:r>
          </w:p>
          <w:p w:rsidR="00DB4822" w:rsidRDefault="00DB4822" w:rsidP="00E11062">
            <w:pPr>
              <w:pStyle w:val="Konzulensek"/>
            </w:pPr>
            <w:r w:rsidRPr="00DB4822">
              <w:t>research fellow,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investigation of short-chain acyl-coenzyme A dehydrogenase deficiency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Short-chain acyl-coenzyme A dehydrogenase deficiency (SCAD-deficiency) is an autosomal recessive fatty acid oxidation disorder. The significance of this disease that the suffering patients cannot properly breakdown fats to energy, accordingly serious clinical symptoms characterize it. In the course of the newborn screening at the clinic the incidence of the disease was risen, therefore we proposed the investigation of the genetical variances of the SCAD-deficiency and because of the found regional differences in connection with the occurence, the scouting of specific genetical variances in the concerned population.</w:t>
      </w:r>
    </w:p>
    <w:p>
      <w:pPr>
        <w:widowControl w:val="on"/>
        <w:pBdr/>
        <w:spacing w:before="240" w:after="240" w:line="240" w:lineRule="auto"/>
        <w:ind w:left="0" w:right="0"/>
        <w:jc w:val="left"/>
      </w:pPr>
      <w:r>
        <w:rPr>
          <w:color w:val="000000"/>
          <w:sz w:val="24"/>
          <w:szCs w:val="24"/>
        </w:rPr>
        <w:t xml:space="preserve">Methods: We included five patients in our research who have significant butyryl-carnitine (C4: 1,18-3,36 μmol/L) and butyryr-carnitine/acetyl-carnitine (C4/C2: 0,05-0,13) deflection. In their urine we found increased ethylmalonate (285-1000 mmol/mol creatinine) and methylsuccinate (11-24 mmol/mol creatinine) level. In the clinical symptoms the dominant was the muscle hypotonia. We used PCR and direct sequencing for genetical definition.</w:t>
      </w:r>
    </w:p>
    <w:p>
      <w:pPr>
        <w:widowControl w:val="on"/>
        <w:pBdr/>
        <w:spacing w:before="240" w:after="240" w:line="240" w:lineRule="auto"/>
        <w:ind w:left="0" w:right="0"/>
        <w:jc w:val="left"/>
      </w:pPr>
      <w:r>
        <w:rPr>
          <w:color w:val="000000"/>
          <w:sz w:val="24"/>
          <w:szCs w:val="24"/>
        </w:rPr>
        <w:t xml:space="preserve">Results: Through the results we got an aspect of gene-variations of the diagnosed patients. Our supposition has verified, we found a typical gene-variation (310-2del GAG), which we detected four in five cases. Moreover, we also found two known point mutation.</w:t>
      </w:r>
    </w:p>
    <w:p>
      <w:pPr>
        <w:widowControl w:val="on"/>
        <w:pBdr/>
        <w:spacing w:before="240" w:after="240" w:line="240" w:lineRule="auto"/>
        <w:ind w:left="0" w:right="0"/>
        <w:jc w:val="left"/>
      </w:pPr>
      <w:r>
        <w:rPr>
          <w:color w:val="000000"/>
          <w:sz w:val="24"/>
          <w:szCs w:val="24"/>
        </w:rPr>
        <w:t xml:space="preserve">Conclusion: The incidence of disease was ten times higher then expected. Through using the genetic analysis we want to reduce the repeats of the samples. It would also reduce the parent’s worry which leads to oftener hospitalisation in the after 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23676">
    <w:multiLevelType w:val="hybridMultilevel"/>
    <w:lvl w:ilvl="0" w:tplc="40826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23676">
    <w:abstractNumId w:val="274236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119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