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TOTH</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Hegyi, M.D.</w:t>
            </w:r>
          </w:p>
          <w:p w:rsidR="00DB4822" w:rsidRDefault="00DB4822" w:rsidP="00E11062">
            <w:pPr>
              <w:pStyle w:val="Konzulensek"/>
            </w:pPr>
            <w:r w:rsidRPr="00DB4822">
              <w:t>senior research fellow, SZTE ÁOK</w:t>
            </w:r>
          </w:p>
        </w:tc>
      </w:tr>
      <w:tr w:rsidR="00DB4822" w:rsidTr="00DB4822">
        <w:tc>
          <w:tcPr>
            <w:tcW w:w="9854" w:type="dxa"/>
          </w:tcPr>
          <w:p w:rsidR="00DB4822" w:rsidRPr="00DB4822" w:rsidRDefault="00DB4822" w:rsidP="004D7940">
            <w:pPr>
              <w:pStyle w:val="Konzulensek"/>
            </w:pPr>
            <w:r w:rsidRPr="00DB4822">
              <w:t>Zoltan Rakonczay, M.D.</w:t>
            </w:r>
          </w:p>
          <w:p w:rsidR="00DB4822" w:rsidRDefault="00DB4822" w:rsidP="00E11062">
            <w:pPr>
              <w:pStyle w:val="Konzulensek"/>
            </w:pPr>
            <w:r w:rsidRPr="00DB4822">
              <w:t>senior research fellow, SZTE ÁOK</w:t>
            </w:r>
          </w:p>
        </w:tc>
      </w:tr>
      <w:tr w:rsidR="00DB4822" w:rsidTr="00DB4822">
        <w:tc>
          <w:tcPr>
            <w:tcW w:w="9854" w:type="dxa"/>
          </w:tcPr>
          <w:p w:rsidR="00DB4822" w:rsidRPr="00DB4822" w:rsidRDefault="00DB4822" w:rsidP="004D7940">
            <w:pPr>
              <w:pStyle w:val="Konzulensek"/>
            </w:pPr>
            <w:r w:rsidRPr="00DB4822">
              <w:t>Eva Kunstar</w:t>
            </w:r>
          </w:p>
          <w:p w:rsidR="00DB4822" w:rsidRDefault="00DB4822" w:rsidP="00E11062">
            <w:pPr>
              <w:pStyle w:val="Konzulensek"/>
            </w:pPr>
            <w:r w:rsidRPr="00DB4822">
              <w:t>Ph.D. student,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Non-conjugated chenodeoxycholate causes loss of ATP, mitochondrial damage and inhibits the ion-transport mechanisms of the human colonic crypts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As we know, inflammatory bowel diseases and secretory diarrhea correlates with the disorder of the absorption of NaCl. Bile acids can also cause chronic diarrhea, if they reach the colon in high concentrations (e.g. ileum resection, bile acid malabsorption). Our aim was to investigate what are the effects of the bile acids on the ion-transport mechanisms of the colonic epithelial cells.</w:t>
      </w:r>
    </w:p>
    <w:p>
      <w:pPr>
        <w:widowControl w:val="on"/>
        <w:pBdr/>
        <w:spacing w:before="240" w:after="240" w:line="240" w:lineRule="auto"/>
        <w:ind w:left="0" w:right="0"/>
        <w:jc w:val="left"/>
      </w:pPr>
      <w:r>
        <w:rPr>
          <w:color w:val="000000"/>
          <w:sz w:val="24"/>
          <w:szCs w:val="24"/>
        </w:rPr>
        <w:t xml:space="preserve">Methods: Colonic crypts were isolated with enzymatic digestion from human biopsy samples, and we measured changes in the intracellular pH (pH</w:t>
      </w:r>
      <w:r>
        <w:rPr>
          <w:color w:val="000000"/>
          <w:position w:val="-4"/>
          <w:sz w:val="21"/>
          <w:szCs w:val="21"/>
          <w:vertAlign w:val="subscript"/>
        </w:rPr>
        <w:t xml:space="preserve">i</w:t>
      </w:r>
      <w:r>
        <w:rPr>
          <w:color w:val="000000"/>
          <w:sz w:val="24"/>
          <w:szCs w:val="24"/>
        </w:rPr>
        <w:t xml:space="preserve">) and in the concentration of ATP (ATP</w:t>
      </w:r>
      <w:r>
        <w:rPr>
          <w:color w:val="000000"/>
          <w:position w:val="-4"/>
          <w:sz w:val="21"/>
          <w:szCs w:val="21"/>
          <w:vertAlign w:val="subscript"/>
        </w:rPr>
        <w:t xml:space="preserve">i</w:t>
      </w:r>
      <w:r>
        <w:rPr>
          <w:color w:val="000000"/>
          <w:sz w:val="24"/>
          <w:szCs w:val="24"/>
        </w:rPr>
        <w:t xml:space="preserve">) by microfluorometry. We measured the activities of the Na</w:t>
      </w:r>
      <w:r>
        <w:rPr>
          <w:color w:val="000000"/>
          <w:position w:val="4"/>
          <w:sz w:val="21"/>
          <w:szCs w:val="21"/>
          <w:vertAlign w:val="superscript"/>
        </w:rPr>
        <w:t xml:space="preserve">+</w:t>
      </w:r>
      <w:r>
        <w:rPr>
          <w:color w:val="000000"/>
          <w:sz w:val="24"/>
          <w:szCs w:val="24"/>
        </w:rPr>
        <w:t xml:space="preserve">/H</w:t>
      </w:r>
      <w:r>
        <w:rPr>
          <w:color w:val="000000"/>
          <w:position w:val="4"/>
          <w:sz w:val="21"/>
          <w:szCs w:val="21"/>
          <w:vertAlign w:val="superscript"/>
        </w:rPr>
        <w:t xml:space="preserve">+</w:t>
      </w:r>
      <w:r>
        <w:rPr>
          <w:color w:val="000000"/>
          <w:sz w:val="24"/>
          <w:szCs w:val="24"/>
        </w:rPr>
        <w:t xml:space="preserve"> exchanger (NHE) and Cl</w:t>
      </w:r>
      <w:r>
        <w:rPr>
          <w:color w:val="000000"/>
          <w:position w:val="4"/>
          <w:sz w:val="21"/>
          <w:szCs w:val="21"/>
          <w:vertAlign w:val="superscript"/>
        </w:rPr>
        <w:t xml:space="preserve">-</w:t>
      </w:r>
      <w:r>
        <w:rPr>
          <w:color w:val="000000"/>
          <w:sz w:val="24"/>
          <w:szCs w:val="24"/>
        </w:rPr>
        <w:t xml:space="preserve">/HCO</w:t>
      </w:r>
      <w:r>
        <w:rPr>
          <w:color w:val="000000"/>
          <w:position w:val="-4"/>
          <w:sz w:val="21"/>
          <w:szCs w:val="21"/>
          <w:vertAlign w:val="subscript"/>
        </w:rPr>
        <w:t xml:space="preserve">3</w:t>
      </w:r>
      <w:r>
        <w:rPr>
          <w:color w:val="000000"/>
          <w:position w:val="4"/>
          <w:sz w:val="21"/>
          <w:szCs w:val="21"/>
        </w:rPr>
        <w:t xml:space="preserve">-</w:t>
      </w:r>
      <w:r>
        <w:rPr>
          <w:color w:val="000000"/>
          <w:sz w:val="24"/>
          <w:szCs w:val="24"/>
        </w:rPr>
        <w:t xml:space="preserve"> exchanger (AE) by changing the ion concentrations of the extracellular fluid. In our experiments, we used the non-conjugated chenodeoxycholate (CDC) and the conjugated glycochenodeoxycholate (GCDC) bile acids. We carried out morphological measurements with transmission electron microscope.</w:t>
      </w:r>
    </w:p>
    <w:p>
      <w:pPr>
        <w:widowControl w:val="on"/>
        <w:pBdr/>
        <w:spacing w:before="240" w:after="240" w:line="240" w:lineRule="auto"/>
        <w:ind w:left="0" w:right="0"/>
        <w:jc w:val="left"/>
      </w:pPr>
      <w:r>
        <w:rPr>
          <w:color w:val="000000"/>
          <w:sz w:val="24"/>
          <w:szCs w:val="24"/>
        </w:rPr>
        <w:t xml:space="preserve">Results: CDC and GCDC caused dose-dependent acidosis in colonic epithelial cells, which was significantly higher when using CDC. 0,3 mM CDC inhibited the activities of NHE and AE. 1mM CDC decreased the ATP</w:t>
      </w:r>
      <w:r>
        <w:rPr>
          <w:color w:val="000000"/>
          <w:position w:val="-4"/>
          <w:sz w:val="21"/>
          <w:szCs w:val="21"/>
          <w:vertAlign w:val="subscript"/>
        </w:rPr>
        <w:t xml:space="preserve">i</w:t>
      </w:r>
      <w:r>
        <w:rPr>
          <w:color w:val="000000"/>
          <w:sz w:val="24"/>
          <w:szCs w:val="24"/>
        </w:rPr>
        <w:t xml:space="preserve"> irreversibely and caused severe mitochondrial damage.</w:t>
      </w:r>
    </w:p>
    <w:p>
      <w:pPr>
        <w:widowControl w:val="on"/>
        <w:pBdr/>
        <w:spacing w:before="240" w:after="240" w:line="240" w:lineRule="auto"/>
        <w:ind w:left="0" w:right="0"/>
        <w:jc w:val="left"/>
      </w:pPr>
      <w:r>
        <w:rPr>
          <w:color w:val="000000"/>
          <w:sz w:val="24"/>
          <w:szCs w:val="24"/>
        </w:rPr>
        <w:t xml:space="preserve">Conclusion: The non-conjugated CDC causes decrease in both the pH</w:t>
      </w:r>
      <w:r>
        <w:rPr>
          <w:color w:val="000000"/>
          <w:position w:val="-4"/>
          <w:sz w:val="21"/>
          <w:szCs w:val="21"/>
          <w:vertAlign w:val="subscript"/>
        </w:rPr>
        <w:t xml:space="preserve">i</w:t>
      </w:r>
      <w:r>
        <w:rPr>
          <w:color w:val="000000"/>
          <w:sz w:val="24"/>
          <w:szCs w:val="24"/>
        </w:rPr>
        <w:t xml:space="preserve"> and ATP</w:t>
      </w:r>
      <w:r>
        <w:rPr>
          <w:color w:val="000000"/>
          <w:position w:val="-4"/>
          <w:sz w:val="21"/>
          <w:szCs w:val="21"/>
          <w:vertAlign w:val="subscript"/>
        </w:rPr>
        <w:t xml:space="preserve">i</w:t>
      </w:r>
      <w:r>
        <w:rPr>
          <w:color w:val="000000"/>
          <w:sz w:val="24"/>
          <w:szCs w:val="24"/>
        </w:rPr>
        <w:t xml:space="preserve">, and severe mitochondrial damage. Furthermore, it inhibits the activities of the ion-transporters which are responsible for NaCl absorption. These processes can decrease the absorption of fluid and electrolytes in the colon and may cause chronic diarrhea.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88188">
    <w:multiLevelType w:val="hybridMultilevel"/>
    <w:lvl w:ilvl="0" w:tplc="66218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88188">
    <w:abstractNumId w:val="83588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77720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