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BODÓ</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Iványi MD</w:t>
            </w:r>
          </w:p>
          <w:p w:rsidR="00DB4822" w:rsidRDefault="00DB4822" w:rsidP="00E11062">
            <w:pPr>
              <w:pStyle w:val="Konzulensek"/>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Chronic rejection of the renal allograft: morphological characteristics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most common cause of a late dysfunction of kidney allografts is chronic rejection, induced by alloantibodies or T-cells. Our objective was to investigate these pathways retrospectively.</w:t>
      </w:r>
    </w:p>
    <w:p>
      <w:pPr>
        <w:widowControl w:val="on"/>
        <w:pBdr/>
        <w:spacing w:before="240" w:after="240" w:line="240" w:lineRule="auto"/>
        <w:ind w:left="0" w:right="0"/>
        <w:jc w:val="left"/>
      </w:pPr>
      <w:r>
        <w:rPr>
          <w:color w:val="000000"/>
          <w:sz w:val="24"/>
          <w:szCs w:val="24"/>
        </w:rPr>
        <w:t xml:space="preserve">Methods: 51 biopsy samples were analyzed retrospectively, diagnosed previously as chronic rejection. The arteries, glomeruli, peritubular capillaries, interstícium and the tubuli were re-examined by applying the semiquantitative Banff scheme (score 0 to 3). All biopsy samples were analized ultrastructurally using electron microscopy for the presence of transplant glomerulopathy and peritubular capillary basement membrane lamination.</w:t>
      </w:r>
      <w:r>
        <w:rPr>
          <w:color w:val="000000"/>
          <w:sz w:val="24"/>
          <w:szCs w:val="24"/>
        </w:rPr>
        <w:br/>
        <w:t xml:space="preserve">Diagnostic categories: chronic antibody-mediated rejection (CAMR) (subclasses based on complement 4d [C4d] staining) was diagnosed if transplant glomerulopathy and/or transplant capillaropathy were noted, and chronic active T-cell-mediated rejection (CATMR) if mononuclears (CD3/+/) in arterial intimal fibrosis were encountered.</w:t>
      </w:r>
    </w:p>
    <w:p>
      <w:pPr>
        <w:widowControl w:val="on"/>
        <w:pBdr/>
        <w:spacing w:before="240" w:after="240" w:line="240" w:lineRule="auto"/>
        <w:ind w:left="0" w:right="0"/>
        <w:jc w:val="left"/>
      </w:pPr>
      <w:r>
        <w:rPr>
          <w:color w:val="000000"/>
          <w:sz w:val="24"/>
          <w:szCs w:val="24"/>
        </w:rPr>
        <w:t xml:space="preserve">Results: 50 biopsies involved chronic AMR, with C4d positivity in 31 biopsies. The numbers of cases with glomerulitis or peritubular capillaritis were significantly higher in the C4d-positive group than in the the C4d-negative group. There were, however 7 C4d-negative cases, which exhibited high g and ptc scores. Nine of the 50 chronic AMR cases coincided with acute TMR, and 17 with acute borderline rejection (ARBO). Fifteen cases with chronic AMR coincided chronic active TMR, commonly scored as v1. One biopsy involved purely chronic active TMR.</w:t>
      </w:r>
    </w:p>
    <w:p>
      <w:pPr>
        <w:widowControl w:val="on"/>
        <w:pBdr/>
        <w:spacing w:before="240" w:after="240" w:line="240" w:lineRule="auto"/>
        <w:ind w:left="0" w:right="0"/>
        <w:jc w:val="left"/>
      </w:pPr>
      <w:r>
        <w:rPr>
          <w:color w:val="000000"/>
          <w:sz w:val="24"/>
          <w:szCs w:val="24"/>
        </w:rPr>
        <w:t xml:space="preserve">Conclusion: the C4d positivity, glomerulitis and peritubular capillaritis in biopsies with transplant glomerulopathy and/or transplant capillaropathy indicate ongoing chronic AMR. If the glomerulitis and peritubular capillaritis score is high in a C4d-negative biopsy with transplant glomerulopathy and/or transplant capillaropathy indicate C4d-negative chronic AMR, however measurement of donor-specific alloantibodies are essential for the diagnosis. Significant proportion of our biopsies simultaneously involved both pathways of rejection. The outcomes of purely AMR and mixed rejection (AMR and TMR) were investigated in a later study.</w:t>
      </w:r>
    </w:p>
    <w:p>
      <w:pPr>
        <w:widowControl w:val="on"/>
        <w:pBdr/>
        <w:spacing w:before="240" w:after="240" w:line="240" w:lineRule="auto"/>
        <w:ind w:left="0" w:right="0"/>
        <w:jc w:val="left"/>
      </w:pPr>
      <w:r>
        <w:rPr>
          <w:color w:val="000000"/>
          <w:sz w:val="24"/>
          <w:szCs w:val="24"/>
        </w:rPr>
        <w:t xml:space="preserve">Grant support: the study was supported by TÁMOP-4.2.1/B-09/1/KONV-2010-0005, Budapest,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36203">
    <w:multiLevelType w:val="hybridMultilevel"/>
    <w:lvl w:ilvl="0" w:tplc="73444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36203">
    <w:abstractNumId w:val="59136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402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