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BÜKI</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ANDRÁS MÉSZÁROS MD</w:t>
            </w:r>
          </w:p>
          <w:p w:rsidR="00DB4822" w:rsidRDefault="00C275A3" w:rsidP="004D7940">
            <w:pPr>
              <w:pStyle w:val="Hallgatokepzes"/>
            </w:pPr>
            <w:r>
              <w:t>Medicine</w:t>
            </w:r>
            <w:r w:rsidR="00A96AEC">
              <w:br/>
              <w:t>Unified, 12.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Medicine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HORVÁTH</w:t>
            </w:r>
          </w:p>
          <w:p w:rsidR="00C275A3" w:rsidRDefault="00A96AEC" w:rsidP="00C275A3">
            <w:pPr>
              <w:pStyle w:val="Hallgatokepzes"/>
            </w:pPr>
            <w:r>
              <w:t>Medicine</w:t>
            </w:r>
            <w:r>
              <w:br/>
            </w:r>
            <w:r w:rsidR="00E77B23">
              <w:t>Unified, 12.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Varga</w:t>
            </w:r>
          </w:p>
          <w:p w:rsidR="00DB4822" w:rsidRDefault="00DB4822" w:rsidP="00E11062">
            <w:pPr>
              <w:pStyle w:val="Konzulensek"/>
            </w:pPr>
            <w:r w:rsidRPr="00DB4822">
              <w:t>assistant lecturer, SZTE ÁOK</w:t>
            </w:r>
          </w:p>
        </w:tc>
      </w:tr>
      <w:tr w:rsidR="00DB4822" w:rsidTr="00DB4822">
        <w:tc>
          <w:tcPr>
            <w:tcW w:w="9854" w:type="dxa"/>
          </w:tcPr>
          <w:p w:rsidR="00DB4822" w:rsidRPr="00DB4822" w:rsidRDefault="00DB4822" w:rsidP="004D7940">
            <w:pPr>
              <w:pStyle w:val="Konzulensek"/>
            </w:pPr>
            <w:r w:rsidRPr="00DB4822">
              <w:t>Tünde Tőkés</w:t>
            </w:r>
          </w:p>
          <w:p w:rsidR="00DB4822" w:rsidRDefault="00DB4822" w:rsidP="00E11062">
            <w:pPr>
              <w:pStyle w:val="Konzulensek"/>
            </w:pPr>
            <w:r w:rsidRPr="00DB4822">
              <w:t>assistant lecturer, SZTE ÁOK</w:t>
            </w:r>
          </w:p>
        </w:tc>
      </w:tr>
      <w:tr w:rsidR="00DB4822" w:rsidTr="00DB4822">
        <w:tc>
          <w:tcPr>
            <w:tcW w:w="9854" w:type="dxa"/>
          </w:tcPr>
          <w:p w:rsidR="00DB4822" w:rsidRPr="00DB4822" w:rsidRDefault="00DB4822" w:rsidP="004D7940">
            <w:pPr>
              <w:pStyle w:val="Konzulensek"/>
            </w:pPr>
            <w:r w:rsidRPr="00DB4822">
              <w:t>József Kaszaki PhD</w:t>
            </w:r>
          </w:p>
          <w:p w:rsidR="00DB4822" w:rsidRDefault="00DB4822" w:rsidP="00E11062">
            <w:pPr>
              <w:pStyle w:val="Konzulensek"/>
            </w:pPr>
            <w:r w:rsidRPr="00DB4822">
              <w:t>associate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the methane treatment on the early morphological and functional consequences of the experimental mesenteric ischemia and reperfusion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Previously we have demonstrated that exogenous methane (CH</w:t>
      </w:r>
      <w:r>
        <w:rPr>
          <w:color w:val="000000"/>
          <w:position w:val="-4"/>
          <w:sz w:val="21"/>
          <w:szCs w:val="21"/>
          <w:vertAlign w:val="subscript"/>
        </w:rPr>
        <w:t xml:space="preserve">4</w:t>
      </w:r>
      <w:r>
        <w:rPr>
          <w:color w:val="000000"/>
          <w:sz w:val="24"/>
          <w:szCs w:val="24"/>
        </w:rPr>
        <w:t xml:space="preserve">) reduces the biochemical consequences of the inflammatory response during experimental ischemia and reperfusion (I/R; Boros et al., Crit Care Med 2012). However the effects of CH</w:t>
      </w:r>
      <w:r>
        <w:rPr>
          <w:color w:val="000000"/>
          <w:position w:val="-4"/>
          <w:sz w:val="21"/>
          <w:szCs w:val="21"/>
          <w:vertAlign w:val="subscript"/>
        </w:rPr>
        <w:t xml:space="preserve">4</w:t>
      </w:r>
      <w:r>
        <w:rPr>
          <w:color w:val="000000"/>
          <w:sz w:val="24"/>
          <w:szCs w:val="24"/>
        </w:rPr>
        <w:t xml:space="preserve"> administration on I/R-caused early mucosal damage in the small intestine are unknown, thus our goal was to investigate the structural and functional changes of the mucosa after mesenteric ischemia with or without CH</w:t>
      </w:r>
      <w:r>
        <w:rPr>
          <w:color w:val="000000"/>
          <w:position w:val="-4"/>
          <w:sz w:val="21"/>
          <w:szCs w:val="21"/>
          <w:vertAlign w:val="subscript"/>
        </w:rPr>
        <w:t xml:space="preserve">4</w:t>
      </w:r>
      <w:r>
        <w:rPr>
          <w:color w:val="000000"/>
          <w:sz w:val="24"/>
          <w:szCs w:val="24"/>
        </w:rPr>
        <w:t xml:space="preserve"> treatments during reperfusion.</w:t>
      </w:r>
      <w:r>
        <w:rPr>
          <w:color w:val="000000"/>
          <w:sz w:val="24"/>
          <w:szCs w:val="24"/>
        </w:rPr>
        <w:br/>
        <w:t xml:space="preserve">Methods: We have monitored the effects of a 45-min ischemia followed by 1 hr of reperfusion in anesthetized rats. Control, I/R and I/R with methane treatment (I/R+Met) groups were used (n=9 each); in I/R+Met animals artificial air containing 2.5% CH</w:t>
      </w:r>
      <w:r>
        <w:rPr>
          <w:color w:val="000000"/>
          <w:position w:val="-4"/>
          <w:sz w:val="21"/>
          <w:szCs w:val="21"/>
          <w:vertAlign w:val="subscript"/>
        </w:rPr>
        <w:t xml:space="preserve">4</w:t>
      </w:r>
      <w:r>
        <w:rPr>
          <w:color w:val="000000"/>
          <w:sz w:val="24"/>
          <w:szCs w:val="24"/>
        </w:rPr>
        <w:t xml:space="preserve"> was administered in the last 5 min of ischemia and for 10 min during reperfusion. We have analysed the dynamics of morphological changes of the mucosa with in vivo fluorescent confocal laser scanning endomicroscopy (FIVE-1, OptiScan, Australia) with iv fluorescein, FITC-dextran and topical acriflavine staining. Functional changes were evaluated by intraluminal fluorescent dextran, to quantify epithelial permeability (EP) and with iv administered Evans blue to measure the vascular permeability (VP) indices.</w:t>
      </w:r>
      <w:r>
        <w:rPr>
          <w:color w:val="000000"/>
          <w:sz w:val="24"/>
          <w:szCs w:val="24"/>
        </w:rPr>
        <w:br/>
        <w:t xml:space="preserve">Results: Increased epithelial shedding was observed in the I/R group with a 50-fold increase of the EP index (I/R: M=53.9 p25=49.4 p75=88.0 vs control: M=0.9 p25=0.7 p75=1.1) and elevated VP index (I/R: M=0.34, p25=0.2 p75=0.48 vs control: M=0.09 p25=0.07 p75=0.11) compared to the control group. The CH</w:t>
      </w:r>
      <w:r>
        <w:rPr>
          <w:color w:val="000000"/>
          <w:position w:val="-4"/>
          <w:sz w:val="21"/>
          <w:szCs w:val="21"/>
          <w:vertAlign w:val="subscript"/>
        </w:rPr>
        <w:t xml:space="preserve">4</w:t>
      </w:r>
      <w:r>
        <w:rPr>
          <w:color w:val="000000"/>
          <w:sz w:val="24"/>
          <w:szCs w:val="24"/>
        </w:rPr>
        <w:t xml:space="preserve"> treatment prevented the loss of the epithelium and significantly decreased the EP (I/R+Met: M=13.1 p25=11.0 p75=16.0) and VP indices, respectively (I/R+Met: M=0.13 p25=0.11 p75=0.15).</w:t>
      </w:r>
      <w:r>
        <w:rPr>
          <w:color w:val="000000"/>
          <w:sz w:val="24"/>
          <w:szCs w:val="24"/>
        </w:rPr>
        <w:br/>
        <w:t xml:space="preserve">Conclusion: Normoxic CH</w:t>
      </w:r>
      <w:r>
        <w:rPr>
          <w:color w:val="000000"/>
          <w:position w:val="-4"/>
          <w:sz w:val="21"/>
          <w:szCs w:val="21"/>
          <w:vertAlign w:val="subscript"/>
        </w:rPr>
        <w:t xml:space="preserve">4</w:t>
      </w:r>
      <w:r>
        <w:rPr>
          <w:color w:val="000000"/>
          <w:sz w:val="24"/>
          <w:szCs w:val="24"/>
        </w:rPr>
        <w:t xml:space="preserve"> inhalation prevents reperfusion damage of the small intestinal epithelium, as confirmed by the decreased epithelial and vascular permeability indices.</w:t>
      </w:r>
      <w:r>
        <w:rPr>
          <w:color w:val="000000"/>
          <w:sz w:val="24"/>
          <w:szCs w:val="24"/>
        </w:rPr>
        <w:br/>
        <w:t xml:space="preserve">Grant support: OTKA K104656, TÁMOP 4.2.2.A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46299">
    <w:multiLevelType w:val="hybridMultilevel"/>
    <w:lvl w:ilvl="0" w:tplc="670921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46299">
    <w:abstractNumId w:val="871462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90187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