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HAJTMAN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Ungi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Stent restenosisra hajlamosító tényezők bifurkációs koszorúér-szűkületek katéteres intervenciója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coronariák elágazásainak szűkületeiben (BS) végzett perkután intervenciók (PCI) sikerei elmaradnak az egyszerű szűkületek kezelési eredményeitől főleg a gyakoribb restenosis miatt. A BS morfológiai variabilitása és megoldásuk számos változata miatt lényeges a stentelési technika megválasztása és ehhez a restenosisra hajlamosító tényezők ismerete. Célkitűzés: retrospektív analízissel azon tényezők hatásának vizsgálata, melyek befolyásolhatják a kezelt elágazás visszaszűkülésének esélyét.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2007-11 között 140 beteg, 171 BS PCI adatait dolgoztuk fel. A rizikófaktorok, a klinikai megjelenés, a morfológiai jellemzők, és az intervenció technikájának hatását vizsgáltuk a restenosis gyakoriságára. A léziók klasszifikációjára a Medina, míg a stentelési technikákra a MADS osztályozást alkalmaztuk.</w:t>
      </w:r>
      <w:r>
        <w:rPr>
          <w:color w:val="000000"/>
          <w:sz w:val="24"/>
          <w:szCs w:val="24"/>
        </w:rPr>
        <w:br/>
        <w:t xml:space="preserve">Statisztikai analízis: kétmintás t-próba, Fisher próba, khi-négyzet és Mann-Whitney próba (SPSS14.0 szoftver).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hyperlipidaemia szignifikánsan (p=0.005) növelte a restenosis előfordulását, a többi rizikófaktor nem befolyásolta azt. A morfológiai sajátosságnál az oldalág érintettsége mutatott hajlamosító tendenciát restenosis irányában (p=0.095). A stentelési technika szignifikáns mértékben befolyásolta a visszaszűkülés esélyét, ami az oldalág elektív stentelése után 34% volt, szemben az „A” osztályú, csak a főágra szorítkozó stent-implantációéval (14%; p=0,006). Az eszközválasztás is szignifikánsan befolyásolta a tartós eredményeket: gyógyszerkibocsátó stent (DES) alkalmazása csökkentette a restenosis esélyét (p=0,004).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bifurkációs PCI hosszútávú eredményességét a normális lipid-profil, a megfelelő technikával implantált DES-ek alkalmazása lényegesen javítja, míg a lézió morfológiai jellemzői érdemben nem befolyásolják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74374">
    <w:multiLevelType w:val="hybridMultilevel"/>
    <w:lvl w:ilvl="0" w:tplc="82621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74374">
    <w:abstractNumId w:val="476743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761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