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HAJTMAN</w:t>
            </w:r>
          </w:p>
          <w:p w:rsidR="00C275A3" w:rsidRDefault="00A96AEC" w:rsidP="00C275A3">
            <w:pPr>
              <w:pStyle w:val="Hallgatokepzes"/>
            </w:pPr>
            <w:r>
              <w:t>General Doctor</w:t>
            </w:r>
            <w:r>
              <w:br/>
            </w:r>
            <w:r w:rsidR="00E77B23">
              <w:t>Unified, 10. semester</w:t>
            </w:r>
          </w:p>
          <w:p w:rsidR="00C265CE" w:rsidRPr="009E5FF1" w:rsidRDefault="00E77B23" w:rsidP="00C275A3">
            <w:pPr>
              <w:pStyle w:val="Hallgatokepzes"/>
              <w:rPr>
                <w:b/>
                <w:caps/>
              </w:rPr>
            </w:pPr>
            <w:r>
              <w:t>University of Szeged</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Imre Ungi, MD</w:t>
            </w:r>
          </w:p>
          <w:p w:rsidR="00DB4822" w:rsidRDefault="00DB4822" w:rsidP="00E11062">
            <w:pPr>
              <w:pStyle w:val="Konzulensek"/>
            </w:pPr>
            <w:r w:rsidRPr="00DB4822">
              <w:t>associate professor,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Predisposing factors of stent restenosis after bifurcation coronary lesion catheter intervention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The success of percutaneous interventions (PCI) of bifurcation stenosis (BS) lag behind normal lesions, particularly due to the higher rate of restenosis. In view of the BS variability of the morphology and the treatment, it is important to know the right stenting strategy and the risk factors of restenosis. Objective: (Retrospective) Analysis of factors, which affect the restenosis in a treated lesion.</w:t>
      </w:r>
    </w:p>
    <w:p>
      <w:pPr>
        <w:widowControl w:val="on"/>
        <w:pBdr/>
        <w:spacing w:before="240" w:after="240" w:line="240" w:lineRule="auto"/>
        <w:ind w:left="0" w:right="0"/>
        <w:jc w:val="left"/>
      </w:pPr>
      <w:r>
        <w:rPr>
          <w:color w:val="000000"/>
          <w:sz w:val="24"/>
          <w:szCs w:val="24"/>
        </w:rPr>
        <w:br/>
        <w:t xml:space="preserve">Methods: Between 2007-11 we analyzed the documents of 140 patients and 171 BS PCIs. We examined the effect of restenosis prevalence in risk factors, the clinical case, lesion morphology and in the intervention strategy. We used the Medina classification for the lesions and the MADS classification for the strategies.</w:t>
      </w:r>
      <w:r>
        <w:rPr>
          <w:color w:val="000000"/>
          <w:sz w:val="24"/>
          <w:szCs w:val="24"/>
        </w:rPr>
        <w:br/>
        <w:t xml:space="preserve">Statistical analysis: two-sample t-test, Fisher test, chi-square and Mann-Whitney test (SPSS14.0 software)</w:t>
      </w:r>
    </w:p>
    <w:p>
      <w:pPr>
        <w:widowControl w:val="on"/>
        <w:pBdr/>
        <w:spacing w:before="240" w:after="240" w:line="240" w:lineRule="auto"/>
        <w:ind w:left="0" w:right="0"/>
        <w:jc w:val="left"/>
      </w:pPr>
      <w:r>
        <w:rPr>
          <w:color w:val="000000"/>
          <w:sz w:val="24"/>
          <w:szCs w:val="24"/>
        </w:rPr>
        <w:br/>
        <w:t xml:space="preserve">Results: The hyperlipidaemia significantly (p=0,005) increased the rate of restenosis, however the other risk factors did not affect it. In the morphology parameters the stenosis of the side branch showed tendency for restenosis (p=0,095). The stenting strategy affected significantly the chance of restenosis, which was 34% in the case of side branch elective stenting opposite the „A” class, namely the only main branch stent-implantation (14%; p=0,006). The choice of devices also significantly affected the long-term results: the application of Drug Eluting Stent (DES) reduced the chance of restenosis (p=0,004).</w:t>
      </w:r>
    </w:p>
    <w:p>
      <w:pPr>
        <w:widowControl w:val="on"/>
        <w:pBdr/>
        <w:spacing w:before="240" w:after="240" w:line="240" w:lineRule="auto"/>
        <w:ind w:left="0" w:right="0"/>
        <w:jc w:val="left"/>
      </w:pPr>
      <w:r>
        <w:rPr>
          <w:color w:val="000000"/>
          <w:sz w:val="24"/>
          <w:szCs w:val="24"/>
        </w:rPr>
        <w:br/>
        <w:t xml:space="preserve">Conclusion: The normal lipid-profile and the suitable technique of DES implantation can improve the long-term results of bifurcation PCI, whereas the morphology parameters do not influence 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481650">
    <w:multiLevelType w:val="hybridMultilevel"/>
    <w:lvl w:ilvl="0" w:tplc="150703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481650">
    <w:abstractNumId w:val="804816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36887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