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RITA MIKOSS</w:t>
            </w:r>
          </w:p>
          <w:p w:rsidR="00C275A3" w:rsidRDefault="00A96AEC" w:rsidP="00C275A3">
            <w:pPr>
              <w:pStyle w:val="Hallgatokepzes"/>
            </w:pPr>
            <w:r>
              <w:t>medicine</w:t>
            </w:r>
            <w:r>
              <w:br/>
            </w:r>
            <w:r w:rsidR="00E77B23">
              <w:t>Unified, 10. semester</w:t>
            </w:r>
          </w:p>
          <w:p w:rsidR="00C265CE" w:rsidRPr="009E5FF1" w:rsidRDefault="00E77B23" w:rsidP="00C275A3">
            <w:pPr>
              <w:pStyle w:val="Hallgatokepzes"/>
              <w:rPr>
                <w:b/>
                <w:caps/>
              </w:rPr>
            </w:pPr>
            <w:r>
              <w:t>University of Szeged</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ÁDÁM STUBÁN</w:t>
            </w:r>
          </w:p>
          <w:p w:rsidR="00DB4822" w:rsidRDefault="00C275A3" w:rsidP="004D7940">
            <w:pPr>
              <w:pStyle w:val="Hallgatokepzes"/>
            </w:pPr>
            <w:r>
              <w:t>medicine</w:t>
            </w:r>
            <w:r w:rsidR="00A96AEC">
              <w:br/>
              <w:t>Unified, 10.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Faculty of Medicine</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Gabriella Varga</w:t>
            </w:r>
          </w:p>
          <w:p w:rsidR="00DB4822" w:rsidRDefault="00DB4822" w:rsidP="00E11062">
            <w:pPr>
              <w:pStyle w:val="Konzulensek"/>
            </w:pPr>
            <w:r w:rsidRPr="00DB4822">
              <w:t>professor's assistant, SZTE ÁOK</w:t>
            </w:r>
          </w:p>
        </w:tc>
      </w:tr>
      <w:tr w:rsidR="00DB4822" w:rsidTr="00DB4822">
        <w:tc>
          <w:tcPr>
            <w:tcW w:w="9854" w:type="dxa"/>
          </w:tcPr>
          <w:p w:rsidR="00DB4822" w:rsidRPr="00DB4822" w:rsidRDefault="00DB4822" w:rsidP="004D7940">
            <w:pPr>
              <w:pStyle w:val="Konzulensek"/>
            </w:pPr>
            <w:r w:rsidRPr="00DB4822">
              <w:t>Dr. Dániel Érces</w:t>
            </w:r>
          </w:p>
          <w:p w:rsidR="00DB4822" w:rsidRDefault="00DB4822" w:rsidP="00E11062">
            <w:pPr>
              <w:pStyle w:val="Konzulensek"/>
            </w:pPr>
            <w:r w:rsidRPr="00DB4822">
              <w:t>professor's assistant, SZTE ÁOK</w:t>
            </w:r>
          </w:p>
        </w:tc>
      </w:tr>
      <w:tr w:rsidR="00DB4822" w:rsidTr="00DB4822">
        <w:tc>
          <w:tcPr>
            <w:tcW w:w="9854" w:type="dxa"/>
          </w:tcPr>
          <w:p w:rsidR="00DB4822" w:rsidRPr="00DB4822" w:rsidRDefault="00DB4822" w:rsidP="004D7940">
            <w:pPr>
              <w:pStyle w:val="Konzulensek"/>
            </w:pPr>
            <w:r w:rsidRPr="00DB4822">
              <w:t>Dr. Tamás Cserni</w:t>
            </w:r>
          </w:p>
          <w:p w:rsidR="00DB4822" w:rsidRDefault="00DB4822" w:rsidP="00E11062">
            <w:pPr>
              <w:pStyle w:val="Konzulensek"/>
            </w:pPr>
            <w:r w:rsidRPr="00DB4822">
              <w:t>pediatric surgeon, DE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the intramural blood supply of the porcine small intestine by using in vivo microscopy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Intramural anastomoses have great significance in reconstructive surgery, nevertheless, the in vivo function of collateral circulation in the small intestine is rare investigated and incompletely understood. Intramural blood supply of the small intestinal wall was mainly studied by post mortem infiltration techniques in the past. Our aim was to clarify this question with functional intravital studies on antimesenteric and longitudinal anastomoses of the intramural blood vessels using intravital videomicroscopy with Orthogonal Polarisation Spectral Imaging (OPS) technique.</w:t>
      </w:r>
      <w:r>
        <w:rPr>
          <w:color w:val="000000"/>
          <w:sz w:val="24"/>
          <w:szCs w:val="24"/>
        </w:rPr>
        <w:br/>
        <w:t xml:space="preserve">Materials and methods: Jejunum segments were investigated in anesthetised minipigs (n=5). We have detected the microcirculatory changes of the mucosa next to the incision lines made on the intestinal segments. The red blood cell velocity (RBCV) and the perfusion rate (PR) were recorded and the images were analysed off line. To investigate the role of antimesenteric anastomoses, antimesenterical incision was made in group 1; in group 2 longitudinal incision was made between the mesenteric and antimesenteric lines; in group 3 the incision was positioned over the paramesenteric line. To examine the role of longitudinal anastomoses, two neighbouring mesenteric vasa rectas were ligated after the antimesenteric incision (group 1) and the microcirculation of the mucosa facing to the ligated one was investigated. In group 2 four vasa rectas, while in group 3 six vasa rectas were ligated.</w:t>
      </w:r>
      <w:r>
        <w:rPr>
          <w:color w:val="000000"/>
          <w:sz w:val="24"/>
          <w:szCs w:val="24"/>
        </w:rPr>
        <w:br/>
        <w:t xml:space="preserve">Results: Antimesenteric anastomoses: there were no statistically significant difference between groups in the RBCV or the PR. Longitudinal anastomoses: in case of group 1, no significant changes could be observed. In groups 2 and 3 the intramural RBCV was decreased significantly compared to the control group (232 ± 11 µm/s; 253 ± 6 µm/s and 589 ± 39 µm/s, respectively).</w:t>
      </w:r>
      <w:r>
        <w:rPr>
          <w:color w:val="000000"/>
          <w:sz w:val="24"/>
          <w:szCs w:val="24"/>
        </w:rPr>
        <w:br/>
        <w:t xml:space="preserve">Conclusion: Our in vivo microcirculatory investigation identified limited longitudinal collateral circulation, and functionally significant antimesenteric intramural microvascular communication in the pig jejunum.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830967">
    <w:multiLevelType w:val="hybridMultilevel"/>
    <w:lvl w:ilvl="0" w:tplc="709380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830967">
    <w:abstractNumId w:val="508309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74718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