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ATTILA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MÁRTON</w:t>
            </w:r>
          </w:p>
          <w:p w:rsidR="00DB4822" w:rsidRDefault="00C275A3" w:rsidP="004D7940">
            <w:pPr>
              <w:pStyle w:val="Hallgatokepzes"/>
            </w:pPr>
            <w:r>
              <w:t>Gépészmérnök szak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CVT (fokozatmentes sebességváltó) szerkezeti és nyomatékátviteli vizsgálata, az elektrohidraulikus vezérlés szimulációs és fizikai kivitelezésével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gépjárműipar történetében elengedhetetlenül fontos a motor nyomatékának átvitele a kerekekre, melyben kiemelkedő fontosságú szerepet játszanak a sebességváltók sokrétű családjai. </w:t>
      </w:r>
      <w:r>
        <w:rPr>
          <w:color w:val="000000"/>
          <w:sz w:val="24"/>
          <w:szCs w:val="24"/>
        </w:rPr>
        <w:br/>
        <w:t xml:space="preserve">A tudományos munkánk keretein belül a GM által gyártott CVT-t, - ismertebb nevén fokozatmentes sebességváltót – vizsgáltuk.</w:t>
      </w:r>
      <w:r>
        <w:rPr>
          <w:color w:val="000000"/>
          <w:sz w:val="24"/>
          <w:szCs w:val="24"/>
        </w:rPr>
        <w:br/>
        <w:t xml:space="preserve">Első lépésként megismertük a sebességváltó mechanizmusát, annak elektrohidraulikus vezérlési- és fogaskerék áttétel szegmenseit.</w:t>
      </w:r>
      <w:r>
        <w:rPr>
          <w:color w:val="000000"/>
          <w:sz w:val="24"/>
          <w:szCs w:val="24"/>
        </w:rPr>
        <w:br/>
        <w:t xml:space="preserve">Második lépésben szükséges volt egy megfelelő anyagminőségű és szerkezetű vázra, melyre rögzíthető a sebességváltó test, eleget téve vizsgálati és kísérleti szempontoknak.</w:t>
      </w:r>
      <w:r>
        <w:rPr>
          <w:color w:val="000000"/>
          <w:sz w:val="24"/>
          <w:szCs w:val="24"/>
        </w:rPr>
        <w:br/>
        <w:t xml:space="preserve">Harmadik lépésben elkészítettük a sebességváltó elektromos vezérlőegységét, mely feladat során a Transmission Control Module-t helyettesítettük, a PIC18F2550-es mikrokontrolleres kapcsolással. Végrehajtottuk a vezérlőegység működésének ellenőrzését Proteus nevű programban, majd megvizsgáltuk a helyes jelalakokat.</w:t>
      </w:r>
      <w:r>
        <w:rPr>
          <w:color w:val="000000"/>
          <w:sz w:val="24"/>
          <w:szCs w:val="24"/>
        </w:rPr>
        <w:br/>
        <w:t xml:space="preserve">A vezérlőegység (TCM) pótlása után, - mely sem fizikai, sem részletes írásos formában nem állt rendelkezésünkre - összeállítottuk a komplett vizsgálati egységünket, mely a következőt jelenti:</w:t>
      </w:r>
    </w:p>
    <w:p>
      <w:pPr>
        <w:pStyle w:val="ListParagraphPHPDOCX"/>
        <w:numPr>
          <w:ilvl w:val="0"/>
          <w:numId w:val="750422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Egy 2kW-os motor rögzítettünk a fent említett állványzatra, amit a vizsgálandó sebességváltóval ékszíjhajtással kapcsoltuk össze.</w:t>
      </w:r>
    </w:p>
    <w:p>
      <w:pPr>
        <w:pStyle w:val="ListParagraphPHPDOCX"/>
        <w:numPr>
          <w:ilvl w:val="0"/>
          <w:numId w:val="750422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Kialakítottuk a nyomaték széles spektrumú vizsgálatának második előfeltételét, mikor a féltengely kivezetésre kapcsoltunk egy gépjárművekben alkalmazott Valeo típusú 12V-os generátort, annak tengelyénél fogva.</w:t>
      </w:r>
    </w:p>
    <w:p>
      <w:pPr>
        <w:pStyle w:val="ListParagraphPHPDOCX"/>
        <w:numPr>
          <w:ilvl w:val="0"/>
          <w:numId w:val="750422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Kapcsolási lehetőséget alakítottunk ki a változtatható terheléses vizsgálatra egy megközelítőleg 800W ellenálláshuzal-, és 4 db egyesével kapcsolható, egyenként 55W-os gépjármű izzó terhelésekkel.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Mindezen összeállítás után elkezdtük a kiértékelést, mely a be- és kimeneti áram- és feszültségszint vizsgálata volt, változtatható terhelések mellett, amit Microsoft Exel táblázatban összesítettünk.</w:t>
      </w:r>
      <w:r>
        <w:rPr>
          <w:color w:val="000000"/>
          <w:sz w:val="24"/>
          <w:szCs w:val="24"/>
        </w:rPr>
        <w:br/>
        <w:t xml:space="preserve">Matlab programban megközelítést végeztünk a nyomatékváltó nyomatékátvitelére a motor és a sebességváltó bemeneti tengelye között. </w:t>
      </w:r>
      <w:r>
        <w:rPr>
          <w:color w:val="000000"/>
          <w:sz w:val="24"/>
          <w:szCs w:val="24"/>
        </w:rPr>
        <w:br/>
        <w:t xml:space="preserve">Lehetséges továbbfejlesztési módozatok elméleti kidolgozását elkezdtük.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42240">
    <w:multiLevelType w:val="hybridMultilevel"/>
    <w:lvl w:ilvl="0" w:tplc="14604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42240">
    <w:abstractNumId w:val="75042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381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