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MOLNAR</w:t>
            </w:r>
          </w:p>
          <w:p w:rsidR="00C275A3" w:rsidRDefault="00A96AEC" w:rsidP="00C275A3">
            <w:pPr>
              <w:pStyle w:val="Hallgatokepzes"/>
            </w:pPr>
            <w:r>
              <w:t>Social work</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Marta B. Erdos PhD.</w:t>
            </w:r>
          </w:p>
          <w:p w:rsidR="00DB4822" w:rsidRDefault="00DB4822" w:rsidP="00E11062">
            <w:pPr>
              <w:pStyle w:val="Konzulensek"/>
            </w:pPr>
            <w:r w:rsidRPr="00DB4822">
              <w:t>  associate professor ,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complex evaluation of volunteering in Pécs, European Capital of Culture in 2010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Community work is an area of social work where professionals leave behind the traditional institutional settings; therefore the area is able to address problems in the locality, and the local community plays an equally important role in the process as the professional. (Harkai, 2006) In 2010, Pécs was the European Capital of Culture (ECoC). The strength of social participation and common action, as well as experiences in common development and growth as constituents of community development, were present in many programs. (Knyihár, 2010)</w:t>
      </w:r>
    </w:p>
    <w:p>
      <w:pPr>
        <w:pBdr/>
        <w:spacing w:before="240" w:after="240" w:line="240" w:lineRule="auto"/>
        <w:ind w:left="0" w:right="0"/>
        <w:jc w:val="left"/>
      </w:pPr>
      <w:r>
        <w:rPr>
          <w:color w:val="000000"/>
          <w:sz w:val="24"/>
          <w:szCs w:val="24"/>
        </w:rPr>
        <w:t xml:space="preserve">I have studied the volunteer program of ECoC. The aim of the empiric research is to identify the strengths and weaknesses of the program . The community of volunteers contribute to the realization of ECoC programs to a significant degree ( I could participate in this work myself as a volunteer.) In the current study I attempt to evaluate the „2010 people for 2010” volunteer program: how the volunteers, the beneficiaries and hosting organizations think of the project and judge its success or failure. The growing number of volunteers and the common goal to support the city of Pécs in its efforts to meet ECoC requirements is an evidence of taking responsibility for the community.</w:t>
      </w:r>
      <w:r>
        <w:rPr>
          <w:color w:val="000000"/>
          <w:sz w:val="24"/>
          <w:szCs w:val="24"/>
        </w:rPr>
        <w:br/>
        <w:t xml:space="preserve">The subject of the research is the ECoC volunteer program in Pécs. Community work, volunteering and the Pécs project are the main pillars of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38676">
    <w:multiLevelType w:val="hybridMultilevel"/>
    <w:lvl w:ilvl="0" w:tplc="68618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38676">
    <w:abstractNumId w:val="29138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525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