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BORBÉLY</w:t>
            </w:r>
          </w:p>
          <w:p w:rsidR="00C275A3" w:rsidRDefault="00A96AEC" w:rsidP="00C275A3">
            <w:pPr>
              <w:pStyle w:val="Hallgatokepzes"/>
            </w:pPr>
            <w:r>
              <w:t>political science</w:t>
            </w:r>
            <w:r>
              <w:br/>
            </w:r>
            <w:r w:rsidR="00E77B23">
              <w:t>MA, 2.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GÁBOR ILLÉS</w:t>
            </w:r>
          </w:p>
          <w:p w:rsidR="00DB4822" w:rsidRDefault="00C275A3" w:rsidP="004D7940">
            <w:pPr>
              <w:pStyle w:val="Hallgatokepzes"/>
            </w:pPr>
            <w:r>
              <w:t>political science</w:t>
            </w:r>
            <w:r w:rsidR="00A96AEC">
              <w:br/>
              <w:t>MA, 2.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Law and Political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G. Fodor</w:t>
            </w:r>
          </w:p>
          <w:p w:rsidR="00DB4822" w:rsidRDefault="00DB4822" w:rsidP="00E11062">
            <w:pPr>
              <w:pStyle w:val="Konzulensek"/>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Crisis Constructions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article argues against a view that is commonly held nowadays and which asserts that the political statements made about the global economic crisis can be understood by means of an omnipotent languge of explanation (e.g. the language of economics); and this language is also able to decide whether the politicians are „experts” or „dilettantes”. Against this view we tried to reason that if our goal is to understand the political actors, we should rather interpret the political reality as a universe made up of discourses, in which particular discourses are struggling with each other to give meaning to the notion of „crisis”.</w:t>
      </w:r>
    </w:p>
    <w:p>
      <w:pPr>
        <w:pBdr/>
        <w:spacing w:before="240" w:after="240" w:line="240" w:lineRule="auto"/>
        <w:ind w:left="0" w:right="0"/>
        <w:jc w:val="left"/>
      </w:pPr>
      <w:r>
        <w:rPr>
          <w:color w:val="000000"/>
          <w:sz w:val="24"/>
          <w:szCs w:val="24"/>
        </w:rPr>
        <w:br/>
        <w:t xml:space="preserve">During our research, we principally leaned on the theoretical basis provided by Political Discourse Studies, and the „language game” concept of the later Wittgenstein.</w:t>
      </w:r>
    </w:p>
    <w:p>
      <w:pPr>
        <w:pBdr/>
        <w:spacing w:before="240" w:after="240" w:line="240" w:lineRule="auto"/>
        <w:ind w:left="0" w:right="0"/>
        <w:jc w:val="left"/>
      </w:pPr>
      <w:r>
        <w:rPr>
          <w:color w:val="000000"/>
          <w:sz w:val="24"/>
          <w:szCs w:val="24"/>
        </w:rPr>
        <w:br/>
        <w:t xml:space="preserve">To demonstrate our above mentioned ideas, we undertook empirical research by analyzing two particular interpretations of the global economic crisis, put forward by two Hungarian prime ministers, Gordon Bajnai and Viktor Orbán. Our tool in examining their concepts was qualitative speech-analysis. We found that the two politicians spoke different political languages, they asked different questions and, consequently, their views were very different about the nature of economic crisis, its assumed causes and potential solutions.</w:t>
      </w:r>
    </w:p>
    <w:p>
      <w:pPr>
        <w:pBdr/>
        <w:spacing w:before="240" w:after="240" w:line="240" w:lineRule="auto"/>
        <w:ind w:left="0" w:right="0"/>
        <w:jc w:val="left"/>
      </w:pPr>
      <w:r>
        <w:rPr>
          <w:color w:val="000000"/>
          <w:sz w:val="24"/>
          <w:szCs w:val="24"/>
        </w:rPr>
        <w:br/>
        <w:t xml:space="preserve">At the end of our article, considering the results of our empirical investigations, we tried to determine some general features of the „crisis-discourses”; and, more generally, draw some conclusions about how the politicians use the means of language.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10447">
    <w:multiLevelType w:val="hybridMultilevel"/>
    <w:lvl w:ilvl="0" w:tplc="65868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10447">
    <w:abstractNumId w:val="949104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65181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