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SZARVAS</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Sándor</w:t>
            </w:r>
          </w:p>
          <w:p w:rsidR="00DB4822" w:rsidRDefault="00DB4822" w:rsidP="00E11062">
            <w:pPr>
              <w:pStyle w:val="Konzulensek"/>
            </w:pPr>
            <w:r w:rsidRPr="00DB4822">
              <w:t>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Japanese cultural tourism in the light of tourism policy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the Japanese travel customs in the world and in Europe, focusing on Hungary. For this purpose, first, I review the history of Japanese tourism policy before and after the war. Next, I dwell on the characteristics of outbound market first in general, then sectioned by continents. After that, I go into detail with Japanese tourists’ travel conditions and motivations. I emphasize the interest of Japanese in connection with the so-called Kodály method. Finally, I make a suggestion for increasing inbound tourism of the Japanese.</w:t>
      </w:r>
    </w:p>
    <w:p>
      <w:pPr>
        <w:pBdr/>
        <w:spacing w:before="240" w:after="240" w:line="240" w:lineRule="auto"/>
        <w:ind w:left="0" w:right="0"/>
        <w:jc w:val="left"/>
      </w:pPr>
      <w:r>
        <w:rPr>
          <w:color w:val="000000"/>
          <w:sz w:val="24"/>
          <w:szCs w:val="24"/>
        </w:rPr>
        <w:t xml:space="preserve">During my work, I primarily based my research on papers of foreign authors and a study of Turizmus Bulletin released in 2000. In the course of conducting my research I had the pleasure of interviewing Mrs. Katalin Ferber, who graciously shared her knowledge on the subject. She is an economic historian who has lived in Japan for 16 years and today works as a teacher at Waseda College in Tokyo. Through the good offices of the Hungarian National Tourist Office I gained access to essays submitted for their 2011 "Remembrance of Tour in Hungary" essay contest. I also relied on the work of Helga Szabó, and the official website of the Embassy of Japan in Hungary, which proved to be an abundant source for information on the cultural relationship between the two countries</w:t>
      </w:r>
    </w:p>
    <w:p>
      <w:pPr>
        <w:pBdr/>
        <w:spacing w:before="240" w:after="240" w:line="240" w:lineRule="auto"/>
        <w:ind w:left="0" w:right="0"/>
        <w:jc w:val="left"/>
      </w:pPr>
      <w:r>
        <w:rPr>
          <w:color w:val="000000"/>
          <w:sz w:val="24"/>
          <w:szCs w:val="24"/>
        </w:rPr>
        <w:t xml:space="preserve">At the end of my research, I conclude that based on the country’s attractions, Hungary is absolutely able to receive much more Japanese tourists than now, we only should concentrate on their needs and introduce a new product for them. If Hungary could get a larger share of the Japanese market, that would open doors to getting larger shares of the market in Southeast Asian countries, such as South Korea, Singapore, Malaysia, and Taiwan.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12449">
    <w:multiLevelType w:val="hybridMultilevel"/>
    <w:lvl w:ilvl="0" w:tplc="77050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12449">
    <w:abstractNumId w:val="28312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141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