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CSERNUS-L. SZILVESZTER</w:t>
            </w:r>
          </w:p>
          <w:p w:rsidR="00C275A3" w:rsidRDefault="00A96AEC" w:rsidP="00C275A3">
            <w:pPr>
              <w:pStyle w:val="Hallgatokepzes"/>
            </w:pPr>
            <w:r>
              <w:t>Történelem; Jogász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Pelyach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Kossuth Lajos halála és temetése a magyarországi szerb, román, német és szlovák sajtó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 Kossuth Lajos halála és temetése a magyarországi szerb, román, német,</w:t>
      </w:r>
      <w:r>
        <w:rPr>
          <w:color w:val="000000"/>
          <w:sz w:val="24"/>
          <w:szCs w:val="24"/>
        </w:rPr>
        <w:br/>
        <w:t xml:space="preserve">és szlovák nyelvű sajtó tükrében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Lafayette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 vitathatatlanul legfontosabb kommunikációs eszköze a sajtó volt. A dualizmus-kori kormányoknak, pártoknak, és más jelentős értelmiségi csoportosulásoknak mind megvolt a maga sajtóorgánuma, ahogy a magyarországi nemzetiségieknek is. A kor újságai, folyóiratai szólaltatták meg részben a társadalom hangját, ekhóját, de elsősorban a lapot működtető csoportosulások vélekedéseit tükrözték.</w:t>
      </w:r>
      <w:r>
        <w:rPr>
          <w:color w:val="000000"/>
          <w:sz w:val="24"/>
          <w:szCs w:val="24"/>
        </w:rPr>
        <w:br/>
        <w:t xml:space="preserve">A dolgozatban húsz magyarországi szerb, román, német, illetve szlovák nyelvű újság mérlegén vizsgálom Kossuth Lajos halálát és temetését, valamint az ahhoz kapcsolódó, 1894. március-áprilisi politikai viszonyokat. Az ezen primer források elemzéséhez használt alapanyagot Magyarországon az Országos Széchényi Könyvtár sajtógyűjteményében találtam meg. Átnézésük, digitalizálásuk, majd fordításuk elkészülte után vált lehetővé a lapok vizsgálata.</w:t>
      </w:r>
      <w:r>
        <w:rPr>
          <w:color w:val="000000"/>
          <w:sz w:val="24"/>
          <w:szCs w:val="24"/>
        </w:rPr>
        <w:br/>
        <w:t xml:space="preserve">A dolgozat célja tanulmányozni a szerb, román, német, illetve szlovák vélekedést a korabeli politikáról, véleményüket Kossuth Lajosról és vele együtt az 1848-49-es időszakról. Munkámban a dualizmuskori nemzetiségpolitikai háttér felvázolása után tematikai sorrendben bemutatom ezen nemzetiségi orgánumokat, elemzem a témáról szóló cikkeket, majd következtetéseket vonok le a nemzetiségiek országos gyászban való részvételét, valamint a magyarországi politikában való elhelyezkedésüket illetően. Bemutatom hogyan, és milyen okból utasították vissza a „magyarosító”, szabadságharcos Kossuth gyászát a román, szerb és szász orgánumok (a német és a szlovák lapok többségében a hazafias magyar álláspontot képviselték), s ezen nekrológok, vélekedések mennyiben vezethetők vissza 1848-49-re, vagy mennyire mutatkozik meg bennük a dualizmus-kori magyar politikához való viszonyulás.</w:t>
      </w:r>
      <w:r>
        <w:rPr>
          <w:color w:val="000000"/>
          <w:sz w:val="24"/>
          <w:szCs w:val="24"/>
        </w:rPr>
        <w:br/>
        <w:t xml:space="preserve">Ezen források nemcsak a sajtótörténet számára felhasználhatók. A dualizmus-kori nemzetiségi mozgalmaik vizsgálatának szempontjából is hasznosak, új kutatási felületeket nyithatnak meg. Emellett képesek rekonstruálni a politikai életből jórészt kiszoruló nemzetiségi tömegek helyzetét, politikai vélekedését, valamint 1848-49-es múltértékelésüket.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80041">
    <w:multiLevelType w:val="hybridMultilevel"/>
    <w:lvl w:ilvl="0" w:tplc="21274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80041">
    <w:abstractNumId w:val="50580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460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