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MÁTÉ NAGY</w:t>
            </w:r>
          </w:p>
          <w:p w:rsidR="00C275A3" w:rsidRDefault="00A96AEC" w:rsidP="00C275A3">
            <w:pPr>
              <w:pStyle w:val="Hallgatokepzes"/>
            </w:pPr>
            <w:r>
              <w:t>Hungarian</w:t>
            </w:r>
            <w:r>
              <w:br/>
            </w:r>
            <w:r w:rsidR="00E77B23">
              <w:t>MA, 8.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Tóth</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Study of the Toponyms of Bodrogköz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has multiple goals. The primary aim of my work is the toponymic processing of 22 towns of a region, the Bodrogköz in Hungary. The main source for my study is the toponymic corpus of the volume entitled Geographical Names of the Hungarian Bodrogköz, published in 1994, which contains almost 3000 microtoponyms.</w:t>
      </w:r>
    </w:p>
    <w:p>
      <w:pPr>
        <w:pBdr/>
        <w:spacing w:before="240" w:after="240" w:line="240" w:lineRule="auto"/>
        <w:ind w:left="0" w:right="0"/>
        <w:jc w:val="left"/>
      </w:pPr>
      <w:r>
        <w:rPr>
          <w:color w:val="000000"/>
          <w:sz w:val="24"/>
          <w:szCs w:val="24"/>
        </w:rPr>
        <w:t xml:space="preserve">In the first part of my paper, I look at the possibilities of publishing the toponymic corpus in digital format, a software entitled Hungarian Digital Toponym Registry. I describe the software’s functioning and its application by the toponymic corpus of Bodrogköz.</w:t>
      </w:r>
    </w:p>
    <w:p>
      <w:pPr>
        <w:pBdr/>
        <w:spacing w:before="240" w:after="240" w:line="240" w:lineRule="auto"/>
        <w:ind w:left="0" w:right="0"/>
        <w:jc w:val="left"/>
      </w:pPr>
      <w:r>
        <w:rPr>
          <w:color w:val="000000"/>
          <w:sz w:val="24"/>
          <w:szCs w:val="24"/>
        </w:rPr>
        <w:t xml:space="preserve">Within the framework of the onomastic analysis, I first deal with the relationship between „place ‒ toponym ‒ toponymic user”, particularly concentrating on the problem of the toponymic density. After that, I describe the toponyms from a structural aspect, that is to say from a functional-semantical and a lexical-morphological point of view, too. I finish my paper with three case reports which discuss typical morphological and lexical phenomena of the area’s toponymic use. Among the morphological phenomena, I look at the problems of the affix -ka/-ke and its function in toponyms (reconsidering the related statements of the primary literature); on the lexical level, I discuss the double-faced behaviour of the lexeme járó in toponyms and I attempt a historical presentation of the lexemes gorond, gerind, gorc as the special elements of the area’s lexis.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16265">
    <w:multiLevelType w:val="hybridMultilevel"/>
    <w:lvl w:ilvl="0" w:tplc="98113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16265">
    <w:abstractNumId w:val="30216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985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