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PÁL</w:t>
            </w:r>
          </w:p>
          <w:p w:rsidR="00C275A3" w:rsidRDefault="00A96AEC" w:rsidP="00C275A3">
            <w:pPr>
              <w:pStyle w:val="Hallgatokepzes"/>
            </w:pPr>
            <w:r>
              <w:t>music and singing</w:t>
            </w:r>
            <w:r>
              <w:br/>
            </w:r>
            <w:r w:rsidR="00E77B23">
              <w:t>BA, 6. semester</w:t>
            </w:r>
          </w:p>
          <w:p w:rsidR="00C265CE" w:rsidRPr="009E5FF1" w:rsidRDefault="00E77B23" w:rsidP="00C275A3">
            <w:pPr>
              <w:pStyle w:val="Hallgatokepzes"/>
              <w:rPr>
                <w:b/>
                <w:caps/>
              </w:rPr>
            </w:pPr>
            <w:r>
              <w:t>University of West Hungary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Ibolya Czetter Dr.</w:t>
            </w:r>
          </w:p>
          <w:p w:rsidR="00DB4822" w:rsidRDefault="00DB4822" w:rsidP="00E11062">
            <w:pPr>
              <w:pStyle w:val="Konzulensek"/>
            </w:pPr>
            <w:r w:rsidRPr="00DB4822">
              <w:t>professor, NYME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Bánk bán in 3 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this thesis is to analyse and compare Katona's drama and Erkel's opera, Bánk bán. I divide this analysis into three parts. In the first part I analyse the text of the drama according to the critical edition. In the second part I compare the different librettos of the opera and in the last part I investigate the texts of both genres, concentrating on the similarities and differences between them. Furthermore, I divide all the three parts into 3-3 shorter sections according to the reception of the works in the past, the present and in the future. The number in the title refers to these divisions. This is the Bánk bán – 3</w:t>
      </w:r>
      <w:r>
        <w:rPr>
          <w:color w:val="000000"/>
          <w:position w:val="4"/>
          <w:sz w:val="21"/>
          <w:szCs w:val="21"/>
          <w:vertAlign w:val="superscript"/>
        </w:rPr>
        <w:t xml:space="preserve">2</w:t>
      </w:r>
      <w:r>
        <w:rPr>
          <w:color w:val="000000"/>
          <w:sz w:val="24"/>
          <w:szCs w:val="24"/>
        </w:rPr>
        <w:t xml:space="preser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66193">
    <w:multiLevelType w:val="hybridMultilevel"/>
    <w:lvl w:ilvl="0" w:tplc="905329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66193">
    <w:abstractNumId w:val="496661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5649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