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UHRIN</w:t>
            </w:r>
          </w:p>
          <w:p w:rsidR="00C275A3" w:rsidRDefault="00A96AEC" w:rsidP="00C275A3">
            <w:pPr>
              <w:pStyle w:val="Hallgatokepzes"/>
            </w:pPr>
            <w:r>
              <w:t>International Economics and Management</w:t>
            </w:r>
            <w:r>
              <w:br/>
            </w:r>
            <w:r w:rsidR="00E77B23">
              <w:t>MA, 2.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Udvari,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All Efforts In Vain? Access To Medicines In Sub-Saharan Africa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Human health has an important role in our life, as it affects our daily routine as well as the economy. This fact has been recognized by international organizations and they have determined that – especially in the low income developing countries – people do not have access even to the essential medicines. Because of the several economic related effects of access to medicine problem (e.g. work), it is important to discuss about this topic and try to find some solutions as well. It is especially valid in the current fragile nature of the world economic growth. Since especially the low income developing countries are affected by this problem, our research focuses on Sub-Saharan Africa.</w:t>
      </w:r>
    </w:p>
    <w:p>
      <w:pPr>
        <w:pBdr/>
        <w:spacing w:before="240" w:after="240" w:line="240" w:lineRule="auto"/>
        <w:ind w:left="0" w:right="0"/>
        <w:jc w:val="left"/>
      </w:pPr>
      <w:r>
        <w:rPr>
          <w:color w:val="000000"/>
          <w:sz w:val="24"/>
          <w:szCs w:val="24"/>
        </w:rPr>
        <w:t xml:space="preserve">Based on these, our paper aims to reveal the factors that led to the access to medicine problem in Sub-Saharan Africa and the causes responsible for its continuance. Regarding the very complex nature of this topic, our paper tries to reveal that to what extent can the lack of access to medicine have national and international roots and what types of solution are available.</w:t>
      </w:r>
    </w:p>
    <w:p>
      <w:pPr>
        <w:pBdr/>
        <w:spacing w:before="240" w:after="240" w:line="240" w:lineRule="auto"/>
        <w:ind w:left="0" w:right="0"/>
        <w:jc w:val="left"/>
      </w:pPr>
      <w:r>
        <w:rPr>
          <w:color w:val="000000"/>
          <w:sz w:val="24"/>
          <w:szCs w:val="24"/>
        </w:rPr>
        <w:t xml:space="preserve">During our research we analyze and organize the scientific literature and then we present the potential consequences. Our research emphasizes national and international factors that could influence access to medicine in some (positive or negative) way (such as TRIPS Agreement, infrastructure, lack of pharmaceutical industry). Giving a comprehensive view of the topic, we not just analyze the causes, but we are presenting some solutions, too (for example compulsory licensing) and we point out their deficiencies.</w:t>
      </w:r>
    </w:p>
    <w:p>
      <w:pPr>
        <w:pBdr/>
        <w:spacing w:before="240" w:after="240" w:line="240" w:lineRule="auto"/>
        <w:ind w:left="0" w:right="0"/>
        <w:jc w:val="left"/>
      </w:pPr>
      <w:r>
        <w:rPr>
          <w:color w:val="000000"/>
          <w:sz w:val="24"/>
          <w:szCs w:val="24"/>
        </w:rPr>
        <w:t xml:space="preserve">Our analysis shows that the access to medicine has been present for a long time and is a very complex problem, with many economic effects. Therefore, it cannot be decided unanimously which tools may contribute to solve the problem. In connection with this issue, beside the extension of antiretroviral therapy to everyone in need, the following factors can also be of help, if using simultaneously: establishment of a quality infrastructure, proper education (including sexual education), the activity of international organizations and access to medicine related campaigns on the national level. We have found that using these methods simultaneously is more effective than using them separately.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48627">
    <w:multiLevelType w:val="hybridMultilevel"/>
    <w:lvl w:ilvl="0" w:tplc="45513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48627">
    <w:abstractNumId w:val="11548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761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