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ÁRVA-TÓTH ADRIENN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Kosztopulosz Anderász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helyi pénz mint a helyi gazdaságfejlesztés eszköze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eddig még keveset hallottunk a helyi pénzről, azonban ez egy világszerte ismert eszköz, és a 2009-es gazdasági válság kirobbanása óta már itthon is egyre nagyobb népszerűségnek örvend. Mi is az a helyi pénz? Kik, hogyan és miért használják?</w:t>
      </w:r>
      <w:r>
        <w:rPr>
          <w:color w:val="000000"/>
          <w:sz w:val="24"/>
          <w:szCs w:val="24"/>
        </w:rPr>
        <w:br/>
        <w:t xml:space="preserve">A helyi pénz egy pénzhelyettesítő eszköz, amely azt hivatott elősegíteni, hogy a pénz a régióban maradjon, ott forogva serkentse a gazdaságot: kialakítsa a keresletet a régióban előállított hazai termékek iránt, így munkahelyeket teremtsen a régióban, lehetőséget nyújtson a vállalatok és lakosság közötti gazdasági összefogásra. A gazdasági célok mellett kiemelten fontosak a társadalmi, szociális, környezeti célok is, úgy mint a régió közösségtudatának kialakítása, egymás segítése és a közvetlen értékesítés által a környezetterhelés csökkentése.</w:t>
      </w:r>
      <w:r>
        <w:rPr>
          <w:color w:val="000000"/>
          <w:sz w:val="24"/>
          <w:szCs w:val="24"/>
        </w:rPr>
        <w:br/>
        <w:t xml:space="preserve">A felmerült kérdések megválaszolásához fő eszközöm a széles körű irodalom feldolgozás volt. A kutatáshoz további segítséget nyújtott, hogy részt vettem egy, a helyi pénzekről szóló konferencián, illetve beszélgettem egy hallgatótársammal, aki az USA-ban önkéntes munkát végzett egy helyi pénz kezdeményezésnél, és általa eljutottam egy iskolához, ahol testközelből vizsgálhattam meg egy működő közösségi pénzrendszert.</w:t>
      </w:r>
      <w:r>
        <w:rPr>
          <w:color w:val="000000"/>
          <w:sz w:val="24"/>
          <w:szCs w:val="24"/>
        </w:rPr>
        <w:br/>
        <w:t xml:space="preserve">Több esettanulmány áttekintése után arra a következtetésre jutottam, hogy a helyi pénz nem egy önmagában használandó eszköz, hanem egy komplexebb helyi gazdaságfejlesztési projektbe illesztve járulhat hozzá a fenti célok eléréséhez. Ennek megfelelően a helyi gazdaságfejlesztés szemüvegén keresztül megvizsgáltam a helyi pénzhez kapcsolódó egyéb végrehajtandó fejlesztéseket, a folyamatban résztvevő szereplőket, és a bevezetés stratégiai tervezésének lépéseit.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140096">
    <w:multiLevelType w:val="hybridMultilevel"/>
    <w:lvl w:ilvl="0" w:tplc="38131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140096">
    <w:abstractNumId w:val="501400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25180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