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NÉMEDI</w:t>
            </w:r>
          </w:p>
          <w:p w:rsidR="00C275A3" w:rsidRDefault="00A96AEC" w:rsidP="00C275A3">
            <w:pPr>
              <w:pStyle w:val="Hallgatokepzes"/>
            </w:pPr>
            <w:r>
              <w:t>Military leadership</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lieutenant colonel Csaba János Horváth </w:t>
            </w:r>
          </w:p>
          <w:p w:rsidR="00DB4822" w:rsidRDefault="00DB4822" w:rsidP="00E11062">
            <w:pPr>
              <w:pStyle w:val="Konzulensek"/>
            </w:pPr>
            <w:r w:rsidRPr="00DB4822">
              <w:t>deputy director responsible for academic institutions,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lessons of the first 10 days of Hungarian Red Army's Northern Campaign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essay examines the first ten days of the Hungarian Red Army’s northern campaign and draws the lessons. It highlights the useful experiences for the Hungarian Army.</w:t>
      </w:r>
      <w:r>
        <w:rPr>
          <w:color w:val="000000"/>
          <w:sz w:val="24"/>
          <w:szCs w:val="24"/>
        </w:rPr>
        <w:br/>
        <w:t xml:space="preserve">This paper does not aim to provide an in-depth presentation of the events of those ten days because numerous competent professionals already did it in past decades.</w:t>
      </w:r>
      <w:r>
        <w:rPr>
          <w:color w:val="000000"/>
          <w:sz w:val="24"/>
          <w:szCs w:val="24"/>
        </w:rPr>
        <w:br/>
        <w:t xml:space="preserve">An extra emphasis is put on making the reason why this campaign happened understandable. Therefore, a separate part deals with the antecedents and Aurél Stromfeld, the man who planned the campaign. Besides all these, the essay describes the special circumstances as well.</w:t>
      </w:r>
      <w:r>
        <w:rPr>
          <w:color w:val="000000"/>
          <w:sz w:val="24"/>
          <w:szCs w:val="24"/>
        </w:rPr>
        <w:br/>
        <w:t xml:space="preserve">Thus, the emphasis is put on the campaign’s analysis. The essay examines the tactics and the strategy used by the Hungarian Red Army. By drawing the lessons and highlighting the ones that can be useful today , this paper ensures that the main experiences of the northern campaign will not fall into oblivion.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684570">
    <w:multiLevelType w:val="hybridMultilevel"/>
    <w:lvl w:ilvl="0" w:tplc="363072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684570">
    <w:abstractNumId w:val="596845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69658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