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ANNAMARIA NETYE</w:t>
            </w:r>
          </w:p>
          <w:p w:rsidR="00C275A3" w:rsidRDefault="00A96AEC" w:rsidP="00C275A3">
            <w:pPr>
              <w:pStyle w:val="Hallgatokepzes"/>
            </w:pPr>
            <w:r>
              <w:t>Finance and accounting</w:t>
            </w:r>
            <w:r>
              <w:br/>
            </w:r>
            <w:r w:rsidR="00E77B23">
              <w:t>BSc, 6.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Istvan Grafjódi, Phd</w:t>
            </w:r>
          </w:p>
          <w:p w:rsidR="00DB4822" w:rsidRDefault="00DB4822" w:rsidP="00E11062">
            <w:pPr>
              <w:pStyle w:val="Konzulensek"/>
            </w:pPr>
            <w:r w:rsidRPr="00DB4822">
              <w:t>Managing partner,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crisis in the market for foreign currency loans to households in Hungary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today's rapidly changing, complex financial world, within the private sector, the population’s foreign debt is a current and major issue. Therefore, I examined more thoroughly the development of foreign currency lending throughout the years, which has led to the indebtedness of many households. Based on the data provided by the FSA, banks recorded losses of 149 billion forints, causing the banking sector after 13 years to become unprofitable again.</w:t>
      </w:r>
    </w:p>
    <w:p>
      <w:pPr>
        <w:pBdr/>
        <w:spacing w:before="240" w:after="240" w:line="240" w:lineRule="auto"/>
        <w:ind w:left="0" w:right="0"/>
        <w:jc w:val="left"/>
      </w:pPr>
      <w:r>
        <w:rPr>
          <w:color w:val="000000"/>
          <w:sz w:val="24"/>
          <w:szCs w:val="24"/>
        </w:rPr>
        <w:t xml:space="preserve">During the years I have covered in my study, the total loan of the population has increased significantly: nearly ten-fold from the mid-1990s to 2009. However, besides the increase of loans, the greatest concern is currency rearrangement. In this paper I examine the rate of expansion of foreign currency loans, as mirrored in the behavior of households and banks.</w:t>
      </w:r>
    </w:p>
    <w:p>
      <w:pPr>
        <w:pBdr/>
        <w:spacing w:before="240" w:after="240" w:line="240" w:lineRule="auto"/>
        <w:ind w:left="0" w:right="0"/>
        <w:jc w:val="left"/>
      </w:pPr>
      <w:r>
        <w:rPr>
          <w:color w:val="000000"/>
          <w:sz w:val="24"/>
          <w:szCs w:val="24"/>
        </w:rPr>
        <w:t xml:space="preserve">For me, it became clear that the institutional regulations of foreign currency lending have been proven to be weak. The lending of banks should have been kept by more stringent prudential rules, but perhaps in the future this demand can be realized having learned from the past.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557532">
    <w:multiLevelType w:val="hybridMultilevel"/>
    <w:lvl w:ilvl="0" w:tplc="850354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557532">
    <w:abstractNumId w:val="955575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75996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