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GARDA ZOLTÁN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Tircsó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Mn2+-komplexek kinetikai inertségének hangolása a ligandumok szerkezetének módosításával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Nefrogén Szisztémás Fibrózis megjelenésével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makrociklusos ligandumokkal</w:t>
      </w:r>
      <w:r>
        <w:rPr>
          <w:color w:val="000000"/>
          <w:sz w:val="24"/>
          <w:szCs w:val="24"/>
        </w:rPr>
        <w:br/>
        <w:t xml:space="preserve">képződő komplexeinek egyensúlyi és kinetikai vizsgálata újabb lendületet vett. Ehhez a</w:t>
      </w:r>
      <w:r>
        <w:rPr>
          <w:color w:val="000000"/>
          <w:sz w:val="24"/>
          <w:szCs w:val="24"/>
        </w:rPr>
        <w:br/>
        <w:t xml:space="preserve">kutatáshoz csatlakozva jelen munkánk során meghatároztuk három makrociklusos ligandum,</w:t>
      </w:r>
      <w:r>
        <w:rPr>
          <w:color w:val="000000"/>
          <w:sz w:val="24"/>
          <w:szCs w:val="24"/>
        </w:rPr>
        <w:br/>
        <w:t xml:space="preserve">a PCMEA, tDO2A és a PCTA, protonálódási ill. Mn(II)-komplexeik stabilitási állandóit. A</w:t>
      </w:r>
      <w:r>
        <w:rPr>
          <w:color w:val="000000"/>
          <w:sz w:val="24"/>
          <w:szCs w:val="24"/>
        </w:rPr>
        <w:br/>
        <w:t xml:space="preserve">tDO2A és PCTA Mn(II)-komplexeire meghatározott stabilitási állandók értékek, hasonlóak a</w:t>
      </w:r>
      <w:r>
        <w:rPr>
          <w:color w:val="000000"/>
          <w:sz w:val="24"/>
          <w:szCs w:val="24"/>
        </w:rPr>
        <w:br/>
        <w:t xml:space="preserve">már publikált [Mn(EDTA)]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(log β=13.8, 0,1 M NaClO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értékéhez, de alacsonyabbak,</w:t>
      </w:r>
      <w:r>
        <w:rPr>
          <w:color w:val="000000"/>
          <w:sz w:val="24"/>
          <w:szCs w:val="24"/>
        </w:rPr>
        <w:br/>
        <w:t xml:space="preserve">mint azt a [Mn(DOTA)]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-komplex estében tapasztalták. A negatív töltésű donoratomok</w:t>
      </w:r>
      <w:r>
        <w:rPr>
          <w:color w:val="000000"/>
          <w:sz w:val="24"/>
          <w:szCs w:val="24"/>
        </w:rPr>
        <w:br/>
        <w:t xml:space="preserve">hiánya a [Mn(PCMEA)]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esetében szignifikánsan alacsonyabb termodinamikai stabilitást</w:t>
      </w:r>
      <w:r>
        <w:rPr>
          <w:color w:val="000000"/>
          <w:sz w:val="24"/>
          <w:szCs w:val="24"/>
        </w:rPr>
        <w:br/>
        <w:t xml:space="preserve">eredményez, mint a piklén-monoacetát (PCMA) és -mono(metilénfoszfonát) (PCMP)</w:t>
      </w:r>
      <w:r>
        <w:rPr>
          <w:color w:val="000000"/>
          <w:sz w:val="24"/>
          <w:szCs w:val="24"/>
        </w:rPr>
        <w:br/>
        <w:t xml:space="preserve">származékai esetébe találták.</w:t>
      </w:r>
      <w:r>
        <w:rPr>
          <w:color w:val="000000"/>
          <w:sz w:val="24"/>
          <w:szCs w:val="24"/>
        </w:rPr>
        <w:br/>
        <w:t xml:space="preserve">Vizsgáltuk továbbá a [Mn(PCMEA)]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 a [Mn(PCTA)]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 és a [Mn(tDO2A)]-</w:t>
      </w:r>
      <w:r>
        <w:rPr>
          <w:color w:val="000000"/>
          <w:sz w:val="24"/>
          <w:szCs w:val="24"/>
        </w:rPr>
        <w:br/>
        <w:t xml:space="preserve">komplexek bomlási kinetikáját illetve a disszociációs reakciókat jellemző sebességi állandók</w:t>
      </w:r>
      <w:r>
        <w:rPr>
          <w:color w:val="000000"/>
          <w:sz w:val="24"/>
          <w:szCs w:val="24"/>
        </w:rPr>
        <w:br/>
        <w:t xml:space="preserve">ismeretében kiszámítottuk a komplexek disszociációját jellemző felezési időket (t</w:t>
      </w:r>
      <w:r>
        <w:rPr>
          <w:color w:val="000000"/>
          <w:position w:val="-4"/>
          <w:sz w:val="21"/>
          <w:szCs w:val="21"/>
          <w:vertAlign w:val="subscript"/>
        </w:rPr>
        <w:t xml:space="preserve">1/2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sz w:val="24"/>
          <w:szCs w:val="24"/>
        </w:rPr>
        <w:br/>
        <w:t xml:space="preserve">fiziológiás körülmények között (pH=7,4 és 1x10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 M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kicserélő fémion mellett). A</w:t>
      </w:r>
      <w:r>
        <w:rPr>
          <w:color w:val="000000"/>
          <w:sz w:val="24"/>
          <w:szCs w:val="24"/>
        </w:rPr>
        <w:br/>
        <w:t xml:space="preserve">felezési idők összehasonlításából kiderül, hogy a [Mn(PCTA)]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-komplex kinetikai inertsége</w:t>
      </w:r>
      <w:r>
        <w:rPr>
          <w:color w:val="000000"/>
          <w:sz w:val="24"/>
          <w:szCs w:val="24"/>
        </w:rPr>
        <w:br/>
        <w:t xml:space="preserve">jóval nagyobb az irodalomban publikált [Mn(DOTA)]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- és [Mn(NOTA)]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-komplexekénél.</w:t>
      </w:r>
      <w:r>
        <w:rPr>
          <w:color w:val="000000"/>
          <w:sz w:val="24"/>
          <w:szCs w:val="24"/>
        </w:rPr>
        <w:br/>
        <w:t xml:space="preserve">Az [Mn(tDO2A)]-komplexre kapott felezési idő alapján azt mondhatjuk, hogy annak kinetikai</w:t>
      </w:r>
      <w:r>
        <w:rPr>
          <w:color w:val="000000"/>
          <w:sz w:val="24"/>
          <w:szCs w:val="24"/>
        </w:rPr>
        <w:br/>
        <w:t xml:space="preserve">inertsége összevethető a [Mn(NOTA)]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-komplexével. A [Mn(PCMEA)]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-komplexre</w:t>
      </w:r>
      <w:r>
        <w:rPr>
          <w:color w:val="000000"/>
          <w:sz w:val="24"/>
          <w:szCs w:val="24"/>
        </w:rPr>
        <w:br/>
        <w:t xml:space="preserve">kapott felezési idő ugyanakkor azt mutatja, hogy a komplex inertsége nagyságrendekkel</w:t>
      </w:r>
      <w:r>
        <w:rPr>
          <w:color w:val="000000"/>
          <w:sz w:val="24"/>
          <w:szCs w:val="24"/>
        </w:rPr>
        <w:br/>
        <w:t xml:space="preserve">kisebb az összes általunk vizsgált és az irodalomból ismert makrociklusos Mn(II)-</w:t>
      </w:r>
      <w:r>
        <w:rPr>
          <w:color w:val="000000"/>
          <w:sz w:val="24"/>
          <w:szCs w:val="24"/>
        </w:rPr>
        <w:br/>
        <w:t xml:space="preserve">komplexénél. Ezek alapján levonhatjuk azt a következtetést, hogy a piridincsoport</w:t>
      </w:r>
      <w:r>
        <w:rPr>
          <w:color w:val="000000"/>
          <w:sz w:val="24"/>
          <w:szCs w:val="24"/>
        </w:rPr>
        <w:br/>
        <w:t xml:space="preserve">makrociklusos gyűrűbe való fúziója növeli a Mn(II)-komplex kinetikai inertséget, viszont az</w:t>
      </w:r>
      <w:r>
        <w:rPr>
          <w:color w:val="000000"/>
          <w:sz w:val="24"/>
          <w:szCs w:val="24"/>
        </w:rPr>
        <w:br/>
        <w:t xml:space="preserve">acetát karok számának a csökkenése a termodinamikai stabilitás és a kinetikai inertség (és a</w:t>
      </w:r>
      <w:r>
        <w:rPr>
          <w:color w:val="000000"/>
          <w:sz w:val="24"/>
          <w:szCs w:val="24"/>
        </w:rPr>
        <w:br/>
        <w:t xml:space="preserve">redoxi stabilitás) csökkenéséhez vezet.</w:t>
      </w:r>
      <w:r>
        <w:rPr>
          <w:color w:val="000000"/>
          <w:sz w:val="24"/>
          <w:szCs w:val="24"/>
        </w:rPr>
        <w:br/>
        <w:t xml:space="preserve">A [Mn(PCTA)]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-, [Mn(tDO2A)]- és a [Mn(PCMEA)]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-komplexek esetében mért kis</w:t>
      </w:r>
      <w:r>
        <w:rPr>
          <w:color w:val="000000"/>
          <w:sz w:val="24"/>
          <w:szCs w:val="24"/>
        </w:rPr>
        <w:br/>
        <w:t xml:space="preserve">relaxivitás értékek nem teszik lehetővé azok kontrasztanyagként való alkalmazását.</w:t>
      </w:r>
      <w:r>
        <w:rPr>
          <w:color w:val="000000"/>
          <w:sz w:val="24"/>
          <w:szCs w:val="24"/>
        </w:rPr>
        <w:br/>
        <w:t xml:space="preserve">Mindazonáltal, az általunk kapott kinetika és a termodinamikai adatok arra mutatnak, hogy a</w:t>
      </w:r>
      <w:r>
        <w:rPr>
          <w:color w:val="000000"/>
          <w:sz w:val="24"/>
          <w:szCs w:val="24"/>
        </w:rPr>
        <w:br/>
        <w:t xml:space="preserve">komplexek kinetikai inertsége nagymértékben befolyásolható az makrociklusos poliamin</w:t>
      </w:r>
      <w:r>
        <w:rPr>
          <w:color w:val="000000"/>
          <w:sz w:val="24"/>
          <w:szCs w:val="24"/>
        </w:rPr>
        <w:br/>
        <w:t xml:space="preserve">(ciklén vs. piklén vagy DOTA vs. PCTA) és az oldalláncok megfelelő megválasztásával. Így,</w:t>
      </w:r>
      <w:r>
        <w:rPr>
          <w:color w:val="000000"/>
          <w:sz w:val="24"/>
          <w:szCs w:val="24"/>
        </w:rPr>
        <w:br/>
        <w:t xml:space="preserve">az inert komplexek szintéziséhez olyan ligandumokat kell előállítani, amelyek gyengén savas</w:t>
      </w:r>
      <w:r>
        <w:rPr>
          <w:color w:val="000000"/>
          <w:sz w:val="24"/>
          <w:szCs w:val="24"/>
        </w:rPr>
        <w:br/>
        <w:t xml:space="preserve">(pl. acetát, 2 metilacetát) vagy merev, előrendezett (pikolinát) oldalláncokat tartalmaznak.Kerülni kell a könnyebben protonálható, foszfonát-, ill. amin-csoportokat, mert a keletkező</w:t>
      </w:r>
      <w:r>
        <w:rPr>
          <w:color w:val="000000"/>
          <w:sz w:val="24"/>
          <w:szCs w:val="24"/>
        </w:rPr>
        <w:br/>
        <w:t xml:space="preserve">protonált komplex minden esetben hajlamosabb a disszociációra. Ezek az eredmények</w:t>
      </w:r>
      <w:r>
        <w:rPr>
          <w:color w:val="000000"/>
          <w:sz w:val="24"/>
          <w:szCs w:val="24"/>
        </w:rPr>
        <w:br/>
        <w:t xml:space="preserve">összhangban vannak a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-komplexek esetében tapasztalt eredményekkel is.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04043">
    <w:multiLevelType w:val="hybridMultilevel"/>
    <w:lvl w:ilvl="0" w:tplc="50331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04043">
    <w:abstractNumId w:val="92904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71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