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GARDA</w:t>
            </w:r>
          </w:p>
          <w:p w:rsidR="00C275A3" w:rsidRDefault="00A96AEC" w:rsidP="00C275A3">
            <w:pPr>
              <w:pStyle w:val="Hallgatokepzes"/>
            </w:pPr>
            <w:r>
              <w:t>Chemist MSc</w:t>
            </w:r>
            <w:r>
              <w:br/>
            </w:r>
            <w:r w:rsidR="00E77B23">
              <w:t>MSc, 9.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Tircsó</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Applying ligand design to tune the kinetic inertness of the complexes of MnII formed with macrocyclic ligands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of macrocyclic Mn</w:t>
      </w:r>
      <w:r>
        <w:rPr>
          <w:color w:val="000000"/>
          <w:position w:val="4"/>
          <w:sz w:val="21"/>
          <w:szCs w:val="21"/>
          <w:vertAlign w:val="superscript"/>
        </w:rPr>
        <w:t xml:space="preserve">2+</w:t>
      </w:r>
      <w:r>
        <w:rPr>
          <w:color w:val="000000"/>
          <w:sz w:val="24"/>
          <w:szCs w:val="24"/>
        </w:rPr>
        <w:t xml:space="preserve"> complexes has taken new wave with the emergence of Nephrogenic Systemic Fibrosis. In order to join this research, we have determined the protonation constants of PCMEA, tDO2A and PCTA macrocyclic ligands and the stability constants of their Mn(II) complexes. Stability constants obtained for the Mn(II)-complexes of tDO2A and PCTA are similar to those already published for [Mn(EDTA)]</w:t>
      </w:r>
      <w:r>
        <w:rPr>
          <w:color w:val="000000"/>
          <w:position w:val="4"/>
          <w:sz w:val="21"/>
          <w:szCs w:val="21"/>
          <w:vertAlign w:val="superscript"/>
        </w:rPr>
        <w:t xml:space="preserve">2-</w:t>
      </w:r>
      <w:r>
        <w:rPr>
          <w:color w:val="000000"/>
          <w:sz w:val="24"/>
          <w:szCs w:val="24"/>
        </w:rPr>
        <w:t xml:space="preserve"> (logß=13.8, 0.1M NaClO</w:t>
      </w:r>
      <w:r>
        <w:rPr>
          <w:color w:val="000000"/>
          <w:position w:val="-4"/>
          <w:sz w:val="21"/>
          <w:szCs w:val="21"/>
          <w:vertAlign w:val="subscript"/>
        </w:rPr>
        <w:t xml:space="preserve">4</w:t>
      </w:r>
      <w:r>
        <w:rPr>
          <w:color w:val="000000"/>
          <w:sz w:val="24"/>
          <w:szCs w:val="24"/>
        </w:rPr>
        <w:t xml:space="preserve">), but lower than that observed for the [Mn(DOTA)]</w:t>
      </w:r>
      <w:r>
        <w:rPr>
          <w:color w:val="000000"/>
          <w:position w:val="4"/>
          <w:sz w:val="21"/>
          <w:szCs w:val="21"/>
          <w:vertAlign w:val="superscript"/>
        </w:rPr>
        <w:t xml:space="preserve">2-</w:t>
      </w:r>
      <w:r>
        <w:rPr>
          <w:color w:val="000000"/>
          <w:sz w:val="24"/>
          <w:szCs w:val="24"/>
        </w:rPr>
        <w:t xml:space="preserve"> complex. Lack of negatively charged donor atoms in the case of [Mn(PCMEA)]</w:t>
      </w:r>
      <w:r>
        <w:rPr>
          <w:color w:val="000000"/>
          <w:position w:val="4"/>
          <w:sz w:val="21"/>
          <w:szCs w:val="21"/>
          <w:vertAlign w:val="superscript"/>
        </w:rPr>
        <w:t xml:space="preserve">2+</w:t>
      </w:r>
      <w:r>
        <w:rPr>
          <w:color w:val="000000"/>
          <w:sz w:val="24"/>
          <w:szCs w:val="24"/>
        </w:rPr>
        <w:t xml:space="preserve"> results in lower thermodynamic stability compared to those of pyclene-monoacetate (PCMA) and -monomethylenephosphonate (PCMP) derivatives published recently.</w:t>
      </w:r>
    </w:p>
    <w:p>
      <w:pPr>
        <w:pBdr/>
        <w:spacing w:before="240" w:after="240" w:line="240" w:lineRule="auto"/>
        <w:ind w:left="0" w:right="0"/>
        <w:jc w:val="left"/>
      </w:pPr>
      <w:r>
        <w:rPr>
          <w:color w:val="000000"/>
          <w:sz w:val="24"/>
          <w:szCs w:val="24"/>
        </w:rPr>
        <w:t xml:space="preserve">The dissociation kinetics of [Mn(PCMEA)]</w:t>
      </w:r>
      <w:r>
        <w:rPr>
          <w:color w:val="000000"/>
          <w:position w:val="4"/>
          <w:sz w:val="21"/>
          <w:szCs w:val="21"/>
          <w:vertAlign w:val="superscript"/>
        </w:rPr>
        <w:t xml:space="preserve">2+</w:t>
      </w:r>
      <w:r>
        <w:rPr>
          <w:color w:val="000000"/>
          <w:sz w:val="24"/>
          <w:szCs w:val="24"/>
        </w:rPr>
        <w:t xml:space="preserve">, [Mn(PCTA)]</w:t>
      </w:r>
      <w:r>
        <w:rPr>
          <w:color w:val="000000"/>
          <w:position w:val="4"/>
          <w:sz w:val="21"/>
          <w:szCs w:val="21"/>
          <w:vertAlign w:val="superscript"/>
        </w:rPr>
        <w:t xml:space="preserve">-</w:t>
      </w:r>
      <w:r>
        <w:rPr>
          <w:color w:val="000000"/>
          <w:sz w:val="24"/>
          <w:szCs w:val="24"/>
        </w:rPr>
        <w:t xml:space="preserve"> and [Mn(tDO2A)] were also studied. The rate constants of the dissociation reactions determined were used to calculate the half-lives under physiological conditions with 1×10</w:t>
      </w:r>
      <w:r>
        <w:rPr>
          <w:color w:val="000000"/>
          <w:position w:val="4"/>
          <w:sz w:val="21"/>
          <w:szCs w:val="21"/>
          <w:vertAlign w:val="superscript"/>
        </w:rPr>
        <w:t xml:space="preserve">-5</w:t>
      </w:r>
      <w:r>
        <w:rPr>
          <w:color w:val="000000"/>
          <w:sz w:val="24"/>
          <w:szCs w:val="24"/>
        </w:rPr>
        <w:t xml:space="preserve"> M Zn</w:t>
      </w:r>
      <w:r>
        <w:rPr>
          <w:color w:val="000000"/>
          <w:position w:val="4"/>
          <w:sz w:val="21"/>
          <w:szCs w:val="21"/>
          <w:vertAlign w:val="superscript"/>
        </w:rPr>
        <w:t xml:space="preserve">2+</w:t>
      </w:r>
      <w:r>
        <w:rPr>
          <w:color w:val="000000"/>
          <w:sz w:val="24"/>
          <w:szCs w:val="24"/>
        </w:rPr>
        <w:t xml:space="preserve"> exchanging metal ion. Comparison of these half-lives reveals, that kinetic inertness of the [Mn(PCTA)]- complex is much higher than those published for [Mn(DOTA)]</w:t>
      </w:r>
      <w:r>
        <w:rPr>
          <w:color w:val="000000"/>
          <w:position w:val="4"/>
          <w:sz w:val="21"/>
          <w:szCs w:val="21"/>
          <w:vertAlign w:val="superscript"/>
        </w:rPr>
        <w:t xml:space="preserve">2-</w:t>
      </w:r>
      <w:r>
        <w:rPr>
          <w:color w:val="000000"/>
          <w:sz w:val="24"/>
          <w:szCs w:val="24"/>
        </w:rPr>
        <w:t xml:space="preserve"> and [Mn(NOTA)]</w:t>
      </w:r>
      <w:r>
        <w:rPr>
          <w:color w:val="000000"/>
          <w:position w:val="4"/>
          <w:sz w:val="21"/>
          <w:szCs w:val="21"/>
          <w:vertAlign w:val="superscript"/>
        </w:rPr>
        <w:t xml:space="preserve">-</w:t>
      </w:r>
      <w:r>
        <w:rPr>
          <w:color w:val="000000"/>
          <w:sz w:val="24"/>
          <w:szCs w:val="24"/>
        </w:rPr>
        <w:t xml:space="preserve">. Based on the half-life determined for [Mn(tDO2A)], it's kinetic inertness is comparable to that of [Mn(NOTA)]</w:t>
      </w:r>
      <w:r>
        <w:rPr>
          <w:color w:val="000000"/>
          <w:position w:val="4"/>
          <w:sz w:val="21"/>
          <w:szCs w:val="21"/>
          <w:vertAlign w:val="superscript"/>
        </w:rPr>
        <w:t xml:space="preserve">-</w:t>
      </w:r>
      <w:r>
        <w:rPr>
          <w:color w:val="000000"/>
          <w:sz w:val="24"/>
          <w:szCs w:val="24"/>
        </w:rPr>
        <w:t xml:space="preserve">. At the same time, the half-life of [Mn(PCMEA)]</w:t>
      </w:r>
      <w:r>
        <w:rPr>
          <w:color w:val="000000"/>
          <w:position w:val="4"/>
          <w:sz w:val="21"/>
          <w:szCs w:val="21"/>
          <w:vertAlign w:val="superscript"/>
        </w:rPr>
        <w:t xml:space="preserve">2+</w:t>
      </w:r>
      <w:r>
        <w:rPr>
          <w:color w:val="000000"/>
          <w:sz w:val="24"/>
          <w:szCs w:val="24"/>
        </w:rPr>
        <w:t xml:space="preserve"> shows, that it's inertness is a couple of orders of magnitude lower than all other Mn(II) complexes of macrocyclic ligands studied in our group, or published in literature. Thus, one can conclude, that incorporation of a pyridine ring into the macrocycle increases the inertness of the Mn(II) complexes, but by lowering the number of acetate moieties on the rigid pyclen backbone, a decrease in the thermodynamic stability and kinetic inertness  of the Mn(II) complexes occurs.</w:t>
      </w:r>
      <w:r>
        <w:rPr>
          <w:color w:val="000000"/>
          <w:sz w:val="24"/>
          <w:szCs w:val="24"/>
        </w:rPr>
        <w:br/>
        <w:t xml:space="preserve">Low relaxivity values determined for the [Mn(PCTA)]</w:t>
      </w:r>
      <w:r>
        <w:rPr>
          <w:color w:val="000000"/>
          <w:position w:val="4"/>
          <w:sz w:val="21"/>
          <w:szCs w:val="21"/>
          <w:vertAlign w:val="superscript"/>
        </w:rPr>
        <w:t xml:space="preserve">-</w:t>
      </w:r>
      <w:r>
        <w:rPr>
          <w:color w:val="000000"/>
          <w:sz w:val="24"/>
          <w:szCs w:val="24"/>
        </w:rPr>
        <w:t xml:space="preserve">, [Mn(tDO2A)] and [Mn(PCMEA)]</w:t>
      </w:r>
      <w:r>
        <w:rPr>
          <w:color w:val="000000"/>
          <w:position w:val="4"/>
          <w:sz w:val="21"/>
          <w:szCs w:val="21"/>
          <w:vertAlign w:val="superscript"/>
        </w:rPr>
        <w:t xml:space="preserve">2+</w:t>
      </w:r>
      <w:r>
        <w:rPr>
          <w:color w:val="000000"/>
          <w:sz w:val="24"/>
          <w:szCs w:val="24"/>
        </w:rPr>
        <w:t xml:space="preserve"> complexes make them unusable as contrast agents in MRI. However, the obtained thermodynamic and kinetic data shows that kinetic inertness of the complexes may be greatly tuned by properly selecting the macrocyclic polyamine as well as the side-chain of the ligands. Our data shows that in order to obtain kinetically inert complexes, ligands with mildly acidic (acetate, or 2-methylacetate), or pre-organized rigid (pycolinate) moieties have to be tailored. Groups that are easily protonated should be avoided during the ligand design, as the protonated complex is more prone to dissociation in all cases.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50542">
    <w:multiLevelType w:val="hybridMultilevel"/>
    <w:lvl w:ilvl="0" w:tplc="81805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50542">
    <w:abstractNumId w:val="77650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717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