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LÁSZLÓ PARAJDI-LOSONCZI </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Buglyó</w:t>
            </w:r>
          </w:p>
          <w:p w:rsidR="00DB4822" w:rsidRDefault="00DB4822" w:rsidP="00E11062">
            <w:pPr>
              <w:pStyle w:val="Konzulensek"/>
            </w:pPr>
            <w:r w:rsidRPr="00DB4822">
              <w:t>associate professor ,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 between [Ru(η6-p-cimol)(H2O)3]2+ and α-alaninehydroxamic acid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recent times half-sandwich ruthenium(II) cations are known to be potential anticancer drugs. Furthermore, it is known that some hydroxamic acids are antiproliferative agents. Lately in the University of Debrecen, at the Department of Inorganic and Analytical Chemistry half-sandwich ruthenium(II)-hydroxamate complexes have been prepared and studied. It turned out however that these compounds show no antiproliferative activity against model cancer cell lines in vitro. Therefore we now study the complex formation with the derivatives of the hydroxamic acids, the aminohydroxamic acids. In this study our scope was to explore the interaction between the half-sandwich ruthenium(II) cation [Ru(η</w:t>
      </w:r>
      <w:r>
        <w:rPr>
          <w:color w:val="000000"/>
          <w:position w:val="4"/>
          <w:sz w:val="21"/>
          <w:szCs w:val="21"/>
          <w:vertAlign w:val="superscript"/>
        </w:rPr>
        <w:t xml:space="preserve">6</w:t>
      </w:r>
      <w:r>
        <w:rPr>
          <w:color w:val="000000"/>
          <w:sz w:val="24"/>
          <w:szCs w:val="24"/>
        </w:rPr>
        <w:t xml:space="preserve">-p-cymene)(H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and α-alaninehydroxamic acid, by the means of pH-potentiometry, ESI-TOF-MS and </w:t>
      </w:r>
      <w:r>
        <w:rPr>
          <w:color w:val="000000"/>
          <w:position w:val="4"/>
          <w:sz w:val="21"/>
          <w:szCs w:val="21"/>
          <w:vertAlign w:val="superscript"/>
        </w:rPr>
        <w:t xml:space="preserve">1</w:t>
      </w:r>
      <w:r>
        <w:rPr>
          <w:color w:val="000000"/>
          <w:sz w:val="24"/>
          <w:szCs w:val="24"/>
        </w:rPr>
        <w:t xml:space="preserve">H-NMR. The ligand was prepared with the classic hydroxamic acid synthesis from the corresponding amino acid.</w:t>
      </w:r>
    </w:p>
    <w:p>
      <w:pPr>
        <w:pBdr/>
        <w:spacing w:before="240" w:after="240" w:line="240" w:lineRule="auto"/>
        <w:ind w:left="0" w:right="0"/>
        <w:jc w:val="left"/>
      </w:pPr>
      <w:r>
        <w:rPr>
          <w:color w:val="000000"/>
          <w:sz w:val="24"/>
          <w:szCs w:val="24"/>
        </w:rPr>
        <w:t xml:space="preserve">According to the pH-metric results the complex formation already starts at pH = 2,0 , with the formation of a mononuclear complex which contains an (O,O) chelate. With increasing pH it transforms to a dinuclear and a mononuclear complex. The latter contains a (N,N) chelate and it is the most important complex of the system at 1:1 metal per ligand ratio. It binds 90% of the metal ion at physiological pH. At alkaline conditions this complex deprotonates and we could define two different way for this process. In both ways it is clear that this ligand is able to prevent the hydrolysis of the metal ion at alkaline pH values. The quantity of the hydrolysis product is only 10% at pH = 11. Moreover we could detect these complexes with ESI-MS and </w:t>
      </w:r>
      <w:r>
        <w:rPr>
          <w:color w:val="000000"/>
          <w:position w:val="4"/>
          <w:sz w:val="21"/>
          <w:szCs w:val="21"/>
          <w:vertAlign w:val="superscript"/>
        </w:rPr>
        <w:t xml:space="preserve">1</w:t>
      </w:r>
      <w:r>
        <w:rPr>
          <w:color w:val="000000"/>
          <w:sz w:val="24"/>
          <w:szCs w:val="24"/>
        </w:rPr>
        <w:t xml:space="preserve">H-NMR measurements, suggesting that pH-metric results are correct.</w:t>
      </w:r>
    </w:p>
    <w:p>
      <w:pPr>
        <w:pBdr/>
        <w:spacing w:before="240" w:after="240" w:line="240" w:lineRule="auto"/>
        <w:ind w:left="0" w:right="0"/>
        <w:jc w:val="left"/>
      </w:pPr>
      <w:r>
        <w:rPr>
          <w:color w:val="000000"/>
          <w:sz w:val="24"/>
          <w:szCs w:val="24"/>
        </w:rPr>
        <w:t xml:space="preserve">We are grateful for the financial support by the TÁMOP-4.2.2/B-10/-1-2010-0024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27583">
    <w:multiLevelType w:val="hybridMultilevel"/>
    <w:lvl w:ilvl="0" w:tplc="84471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27583">
    <w:abstractNumId w:val="58027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70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