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PATALENSZKI</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Buglyó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[(η6-p-cimol)Ru(H2O)3]2+ interaction with sulfur containig biomolecules</w:t>
      </w:r>
    </w:p>
    <w:p w:rsidR="00D71DF5" w:rsidRDefault="00D71DF5" w:rsidP="00AD2602">
      <w:pPr>
        <w:jc w:val="both"/>
      </w:pPr>
    </w:p>
    <w:p>
      <w:pPr>
        <w:pBdr/>
        <w:spacing w:before="240" w:after="240" w:line="240" w:lineRule="auto"/>
        <w:ind w:left="0" w:right="0"/>
        <w:jc w:val="left"/>
      </w:pPr>
      <w:r>
        <w:rPr>
          <w:color w:val="000000"/>
          <w:sz w:val="24"/>
          <w:szCs w:val="24"/>
        </w:rPr>
        <w:t xml:space="preserve">To study the equilibrium complex formation at solution phase we used pH – potentiometric, UV/VIS spectrofotometric, </w:t>
      </w:r>
      <w:r>
        <w:rPr>
          <w:color w:val="000000"/>
          <w:position w:val="4"/>
          <w:sz w:val="21"/>
          <w:szCs w:val="21"/>
          <w:vertAlign w:val="superscript"/>
        </w:rPr>
        <w:t xml:space="preserve">1</w:t>
      </w:r>
      <w:r>
        <w:rPr>
          <w:color w:val="000000"/>
          <w:sz w:val="24"/>
          <w:szCs w:val="24"/>
        </w:rPr>
        <w:t xml:space="preserve">H NMR spectroscopic, and mass spectrometric (ESI – MS) methods. The structures of the single crystals – which were prepared at solid phase studies – were determined with X – ray diffraction method.</w:t>
      </w:r>
      <w:r>
        <w:rPr>
          <w:color w:val="000000"/>
          <w:sz w:val="24"/>
          <w:szCs w:val="24"/>
        </w:rPr>
        <w:br/>
        <w:t xml:space="preserve">The administered half – sandwich type organometallic ruthenium(II) compunds may interact with the low and high molecular weight components of the serum. This is the reason why the metal ion binding capabilities of [O,O] chelators like oxalate, lactate and citrate have been recently studied at the University of Debrecen Department of Inorganic and Analytic Chemistry. The results showed that with these ligands high stability complexes can be formed which can prevent the hydrolysis of the metal ion under physiological conditions (pH = 7,4). This is the background of our new research focussing on the interaction of [(</w:t>
      </w:r>
      <w:r>
        <w:rPr>
          <w:color w:val="000000"/>
          <w:position w:val="-3"/>
          <w:sz w:val="24"/>
          <w:szCs w:val="24"/>
        </w:rPr>
        <w:drawing>
          <wp:inline distT="0" distB="0" distL="0" distR="0">
            <wp:extent cx="115200" cy="100800"/>
            <wp:docPr id="41262221" name="name150bdc31a3b4f1" descr="16190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90_1.gif"/>
                    <pic:cNvPicPr/>
                  </pic:nvPicPr>
                  <pic:blipFill>
                    <a:blip r:embed="rId150bdc31a3b4b4"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with DL-cysteine having high basicity S – donor atom to coordinate. Beside cysteine the complex forming properties of two model compounds (CysMe, AcCys) were also involved in the work.</w:t>
      </w:r>
      <w:r>
        <w:rPr>
          <w:color w:val="000000"/>
          <w:sz w:val="24"/>
          <w:szCs w:val="24"/>
        </w:rPr>
        <w:br/>
        <w:t xml:space="preserve">For the [(</w:t>
      </w:r>
      <w:r>
        <w:rPr>
          <w:color w:val="000000"/>
          <w:position w:val="-3"/>
          <w:sz w:val="24"/>
          <w:szCs w:val="24"/>
        </w:rPr>
        <w:drawing>
          <wp:inline distT="0" distB="0" distL="0" distR="0">
            <wp:extent cx="115200" cy="100800"/>
            <wp:docPr id="28712138" name="name150bdc31a3bc15" descr="16190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90_2.gif"/>
                    <pic:cNvPicPr/>
                  </pic:nvPicPr>
                  <pic:blipFill>
                    <a:blip r:embed="rId150bdc31a3bbd8"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-CysMe system slow irreversible processes, most likely the metal ion induced hydrolysis of the ligand, were detected therefore the acidic part of the titration curves were only considered for calculations. It was found the either mononuclear or dinuclear complexes with high stability are formed in which five – membered [S,N] coordination of the ligand is assumed.</w:t>
      </w:r>
      <w:r>
        <w:rPr>
          <w:color w:val="000000"/>
          <w:sz w:val="24"/>
          <w:szCs w:val="24"/>
        </w:rPr>
        <w:br/>
        <w:t xml:space="preserve">In the [(</w:t>
      </w:r>
      <w:r>
        <w:rPr>
          <w:color w:val="000000"/>
          <w:position w:val="-3"/>
          <w:sz w:val="24"/>
          <w:szCs w:val="24"/>
        </w:rPr>
        <w:drawing>
          <wp:inline distT="0" distB="0" distL="0" distR="0">
            <wp:extent cx="115200" cy="100800"/>
            <wp:docPr id="29023093" name="name150bdc31a3c259" descr="16190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90_3.gif"/>
                    <pic:cNvPicPr/>
                  </pic:nvPicPr>
                  <pic:blipFill>
                    <a:blip r:embed="rId150bdc31a3c21d"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-AcCys system sulphur bridged dinuclear [Ru</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 complex can be formed. In [Ru</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 six – membered [S,O] chelates are assumed, however, in the basic pH-range the carboxylate arms may be replaced by a hydroxide ion. In [Ru</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-1</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therefore, beside the S – donors an OH</w:t>
      </w:r>
      <w:r>
        <w:rPr>
          <w:color w:val="000000"/>
          <w:position w:val="4"/>
          <w:sz w:val="21"/>
          <w:szCs w:val="21"/>
          <w:vertAlign w:val="superscript"/>
        </w:rPr>
        <w:t xml:space="preserve">–</w:t>
      </w:r>
      <w:r>
        <w:rPr>
          <w:color w:val="000000"/>
          <w:sz w:val="24"/>
          <w:szCs w:val="24"/>
        </w:rPr>
        <w:t xml:space="preserve"> may put together the two metal ion centres resulting in a triple bridged structure similar to that of [{(</w:t>
      </w:r>
      <w:r>
        <w:rPr>
          <w:color w:val="000000"/>
          <w:position w:val="-3"/>
          <w:sz w:val="24"/>
          <w:szCs w:val="24"/>
        </w:rPr>
        <w:drawing>
          <wp:inline distT="0" distB="0" distL="0" distR="0">
            <wp:extent cx="115200" cy="100800"/>
            <wp:docPr id="76557711" name="name150bdc31a3cf43" descr="16190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90_4.gif"/>
                    <pic:cNvPicPr/>
                  </pic:nvPicPr>
                  <pic:blipFill>
                    <a:blip r:embed="rId150bdc31a3cf06"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w:t>
      </w:r>
      <w:r>
        <w:rPr>
          <w:color w:val="000000"/>
          <w:position w:val="-4"/>
          <w:sz w:val="21"/>
          <w:szCs w:val="21"/>
          <w:vertAlign w:val="subscript"/>
        </w:rPr>
        <w:t xml:space="preserve">2</w:t>
      </w:r>
      <w:r>
        <w:rPr>
          <w:color w:val="000000"/>
          <w:sz w:val="24"/>
          <w:szCs w:val="24"/>
        </w:rPr>
        <w:t xml:space="preserve">(µ</w:t>
      </w:r>
      <w:r>
        <w:rPr>
          <w:color w:val="000000"/>
          <w:position w:val="4"/>
          <w:sz w:val="21"/>
          <w:szCs w:val="21"/>
          <w:vertAlign w:val="superscript"/>
        </w:rPr>
        <w:t xml:space="preserve">2</w:t>
      </w:r>
      <w:r>
        <w:rPr>
          <w:color w:val="000000"/>
          <w:sz w:val="24"/>
          <w:szCs w:val="24"/>
        </w:rPr>
        <w:t xml:space="preserve">-OH)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w:t>
      </w:r>
      <w:r>
        <w:rPr>
          <w:color w:val="000000"/>
          <w:sz w:val="24"/>
          <w:szCs w:val="24"/>
        </w:rPr>
        <w:br/>
        <w:t xml:space="preserve">According to the results for the [(</w:t>
      </w:r>
      <w:r>
        <w:rPr>
          <w:color w:val="000000"/>
          <w:position w:val="-3"/>
          <w:sz w:val="24"/>
          <w:szCs w:val="24"/>
        </w:rPr>
        <w:drawing>
          <wp:inline distT="0" distB="0" distL="0" distR="0">
            <wp:extent cx="115200" cy="100800"/>
            <wp:docPr id="85600500" name="name150bdc31a3d645" descr="16190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90_5.gif"/>
                    <pic:cNvPicPr/>
                  </pic:nvPicPr>
                  <pic:blipFill>
                    <a:blip r:embed="rId150bdc31a3d609"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-Cys system in [RuA] tridentate [S,N,O] coordination of the ligand is assumed. Two such units may be bridged by a third metal ion via sulphur donors of the ligands resulting in the formation of [Ru</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with high stability.</w:t>
      </w:r>
      <w:r>
        <w:rPr>
          <w:color w:val="000000"/>
          <w:sz w:val="24"/>
          <w:szCs w:val="24"/>
        </w:rPr>
        <w:br/>
        <w:t xml:space="preserve">Our results indicate that both Cys and AcCys are capable of hindering the hydrolysis of the metal ion under physiological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00654">
    <w:multiLevelType w:val="hybridMultilevel"/>
    <w:lvl w:ilvl="0" w:tplc="89275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00654">
    <w:abstractNumId w:val="82000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904216" Type="http://schemas.openxmlformats.org/officeDocument/2006/relationships/numbering" Target="numbering.xml"/><Relationship Id="rId150bdc31a3b4b4" Type="http://schemas.openxmlformats.org/officeDocument/2006/relationships/image" Target="media/imgrId150bdc31a3b4b4.gif"/><Relationship Id="rId150bdc31a3bbd8" Type="http://schemas.openxmlformats.org/officeDocument/2006/relationships/image" Target="media/imgrId150bdc31a3bbd8.gif"/><Relationship Id="rId150bdc31a3c21d" Type="http://schemas.openxmlformats.org/officeDocument/2006/relationships/image" Target="media/imgrId150bdc31a3c21d.gif"/><Relationship Id="rId150bdc31a3cf06" Type="http://schemas.openxmlformats.org/officeDocument/2006/relationships/image" Target="media/imgrId150bdc31a3cf06.gif"/><Relationship Id="rId150bdc31a3d609" Type="http://schemas.openxmlformats.org/officeDocument/2006/relationships/image" Target="media/imgrId150bdc31a3d60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