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PATALENSZKI</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[(η6-p-cymene)Ru(H2O)3]2+ with sulfur containing biomolecules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administered half-sandwich type organometallic ruthenium(II) compunds may interact with the low and high molecular weight components of the serum. This is the reason why the metal ion binding capabilities of [O,O] chelators like oxalate, lactate and citrate have been recently studied at the University of Debrecen Department of Inorganic and Analytic Chemistry. The results showed that with these ligands high stability complexes can be formed which can prevent the hydrolysis of the metal ion under physiological conditions (pH = 7,4). This is the background of our new research focussing on the interaction of [(</w:t>
      </w:r>
      <w:r>
        <w:rPr>
          <w:color w:val="000000"/>
          <w:position w:val="-3"/>
          <w:sz w:val="24"/>
          <w:szCs w:val="24"/>
        </w:rPr>
        <w:drawing>
          <wp:inline distT="0" distB="0" distL="0" distR="0">
            <wp:extent cx="115200" cy="100800"/>
            <wp:docPr id="91283723" name="name150d194f5bd38c" descr="imgtmp_1619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0_int_1.gif"/>
                    <pic:cNvPicPr/>
                  </pic:nvPicPr>
                  <pic:blipFill>
                    <a:blip r:embed="rId150d194f5bd34e"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with DL-cysteine having high basicity S–donor atom to coordinate. Beside cysteine the complex forming properties of two model compounds (CysMe, AcCys) were also involved in the work. To study the complex formation in solution pH-potentiometry, UV/VIS, </w:t>
      </w:r>
      <w:r>
        <w:rPr>
          <w:color w:val="000000"/>
          <w:position w:val="4"/>
          <w:sz w:val="21"/>
          <w:szCs w:val="21"/>
          <w:vertAlign w:val="superscript"/>
        </w:rPr>
        <w:t xml:space="preserve">1</w:t>
      </w:r>
      <w:r>
        <w:rPr>
          <w:color w:val="000000"/>
          <w:sz w:val="24"/>
          <w:szCs w:val="24"/>
        </w:rPr>
        <w:t xml:space="preserve">H NMR and ESI–MS methods have been used. The structures of the single crystals – which were prepared for the solid state studies – were determined with X-ray diffraction method.</w:t>
      </w:r>
      <w:r>
        <w:rPr>
          <w:color w:val="000000"/>
          <w:sz w:val="24"/>
          <w:szCs w:val="24"/>
        </w:rPr>
        <w:br/>
        <w:t xml:space="preserve">For the [(</w:t>
      </w:r>
      <w:r>
        <w:rPr>
          <w:color w:val="000000"/>
          <w:position w:val="-3"/>
          <w:sz w:val="24"/>
          <w:szCs w:val="24"/>
        </w:rPr>
        <w:drawing>
          <wp:inline distT="0" distB="0" distL="0" distR="0">
            <wp:extent cx="115200" cy="100800"/>
            <wp:docPr id="2511508" name="name150d194f5bdb91" descr="imgtmp_16190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0_int_2.gif"/>
                    <pic:cNvPicPr/>
                  </pic:nvPicPr>
                  <pic:blipFill>
                    <a:blip r:embed="rId150d194f5bdb55"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-CysMe system slow irreversible processes, most likely the metal ion induced hydrolysis of the ligand, were detected therefore the acidic part of the titration curves were only considered for calculations. It was found the either mononuclear or dinuclear complexes with high stability are formed in which five–membered [S,N] coordination of the ligand is assumed.</w:t>
      </w:r>
      <w:r>
        <w:rPr>
          <w:color w:val="000000"/>
          <w:sz w:val="24"/>
          <w:szCs w:val="24"/>
        </w:rPr>
        <w:br/>
        <w:t xml:space="preserve">In the [(</w:t>
      </w:r>
      <w:r>
        <w:rPr>
          <w:color w:val="000000"/>
          <w:position w:val="-3"/>
          <w:sz w:val="24"/>
          <w:szCs w:val="24"/>
        </w:rPr>
        <w:drawing>
          <wp:inline distT="0" distB="0" distL="0" distR="0">
            <wp:extent cx="115200" cy="100800"/>
            <wp:docPr id="33938739" name="name150d194f5be1e7" descr="imgtmp_16190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0_int_3.gif"/>
                    <pic:cNvPicPr/>
                  </pic:nvPicPr>
                  <pic:blipFill>
                    <a:blip r:embed="rId150d194f5be1ab"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-AcCys system sulphur bridged dinuclear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 complex can be formed. In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 six–membered [S,O] chelates are assumed, however, in the basic pH-range the carboxylate arms may be replaced by a hydroxide ion. In [Ru</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-1</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therefore, beside the S–donors an OH</w:t>
      </w:r>
      <w:r>
        <w:rPr>
          <w:color w:val="000000"/>
          <w:position w:val="4"/>
          <w:sz w:val="21"/>
          <w:szCs w:val="21"/>
          <w:vertAlign w:val="superscript"/>
        </w:rPr>
        <w:t xml:space="preserve">–</w:t>
      </w:r>
      <w:r>
        <w:rPr>
          <w:color w:val="000000"/>
          <w:sz w:val="24"/>
          <w:szCs w:val="24"/>
        </w:rPr>
        <w:t xml:space="preserve"> may put together the two metal ion centres resulting in a triple bridged structure similar to that of [{(</w:t>
      </w:r>
      <w:r>
        <w:rPr>
          <w:color w:val="000000"/>
          <w:position w:val="-3"/>
          <w:sz w:val="24"/>
          <w:szCs w:val="24"/>
        </w:rPr>
        <w:drawing>
          <wp:inline distT="0" distB="0" distL="0" distR="0">
            <wp:extent cx="115200" cy="100800"/>
            <wp:docPr id="31847559" name="name150d194f5beef2" descr="imgtmp_16190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0_int_4.gif"/>
                    <pic:cNvPicPr/>
                  </pic:nvPicPr>
                  <pic:blipFill>
                    <a:blip r:embed="rId150d194f5beeb5"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w:t>
      </w:r>
      <w:r>
        <w:rPr>
          <w:color w:val="000000"/>
          <w:position w:val="-4"/>
          <w:sz w:val="21"/>
          <w:szCs w:val="21"/>
          <w:vertAlign w:val="subscript"/>
        </w:rPr>
        <w:t xml:space="preserve">2</w:t>
      </w:r>
      <w:r>
        <w:rPr>
          <w:color w:val="000000"/>
          <w:sz w:val="24"/>
          <w:szCs w:val="24"/>
        </w:rPr>
        <w:t xml:space="preserve">(µ</w:t>
      </w:r>
      <w:r>
        <w:rPr>
          <w:color w:val="000000"/>
          <w:position w:val="4"/>
          <w:sz w:val="21"/>
          <w:szCs w:val="21"/>
          <w:vertAlign w:val="superscript"/>
        </w:rPr>
        <w:t xml:space="preserve">2</w:t>
      </w:r>
      <w:r>
        <w:rPr>
          <w:color w:val="000000"/>
          <w:sz w:val="24"/>
          <w:szCs w:val="24"/>
        </w:rPr>
        <w:t xml:space="preserve">-OH)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w:t>
      </w:r>
      <w:r>
        <w:rPr>
          <w:color w:val="000000"/>
          <w:sz w:val="24"/>
          <w:szCs w:val="24"/>
        </w:rPr>
        <w:br/>
        <w:t xml:space="preserve">According to the results for the [(</w:t>
      </w:r>
      <w:r>
        <w:rPr>
          <w:color w:val="000000"/>
          <w:position w:val="-3"/>
          <w:sz w:val="24"/>
          <w:szCs w:val="24"/>
        </w:rPr>
        <w:drawing>
          <wp:inline distT="0" distB="0" distL="0" distR="0">
            <wp:extent cx="115200" cy="100800"/>
            <wp:docPr id="56833546" name="name150d194f5bf600" descr="imgtmp_16190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0_int_5.gif"/>
                    <pic:cNvPicPr/>
                  </pic:nvPicPr>
                  <pic:blipFill>
                    <a:blip r:embed="rId150d194f5bf5c4"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6</w:t>
      </w:r>
      <w:r>
        <w:rPr>
          <w:color w:val="000000"/>
          <w:sz w:val="24"/>
          <w:szCs w:val="24"/>
        </w:rPr>
        <w:t xml:space="preserve">-p-cym)Ru(H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-Cys system in [RuA] tridentate [S,N,O] coordination of the ligand is assumed. Two such units may be bridged by a third metal ion via sulphur donors of the ligands resulting in the formation of [Ru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with high stability.</w:t>
      </w:r>
      <w:r>
        <w:rPr>
          <w:color w:val="000000"/>
          <w:sz w:val="24"/>
          <w:szCs w:val="24"/>
        </w:rPr>
        <w:br/>
        <w:t xml:space="preserve">Our results indicate that both Cys and AcCys are capable of hindering the hydrolysis of the metal ion under physiological conditions.</w:t>
      </w:r>
      <w:r>
        <w:rPr>
          <w:color w:val="000000"/>
          <w:sz w:val="24"/>
          <w:szCs w:val="24"/>
        </w:rPr>
        <w:br/>
        <w:t xml:space="preserve">I give my thanks for the financial support by TÁMOP-4.2.2/B-10/-1-2010-0024 marked competition.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43699">
    <w:multiLevelType w:val="hybridMultilevel"/>
    <w:lvl w:ilvl="0" w:tplc="48288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43699">
    <w:abstractNumId w:val="14143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622521" Type="http://schemas.openxmlformats.org/officeDocument/2006/relationships/numbering" Target="numbering.xml"/><Relationship Id="rId150d194f5bd34e" Type="http://schemas.openxmlformats.org/officeDocument/2006/relationships/image" Target="media/imgrId150d194f5bd34e.gif"/><Relationship Id="rId150d194f5bdb55" Type="http://schemas.openxmlformats.org/officeDocument/2006/relationships/image" Target="media/imgrId150d194f5bdb55.gif"/><Relationship Id="rId150d194f5be1ab" Type="http://schemas.openxmlformats.org/officeDocument/2006/relationships/image" Target="media/imgrId150d194f5be1ab.gif"/><Relationship Id="rId150d194f5beeb5" Type="http://schemas.openxmlformats.org/officeDocument/2006/relationships/image" Target="media/imgrId150d194f5beeb5.gif"/><Relationship Id="rId150d194f5bf5c4" Type="http://schemas.openxmlformats.org/officeDocument/2006/relationships/image" Target="media/imgrId150d194f5bf5c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