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BÉLI</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Berlinger</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THE EQUITY PREMIUM PUZZLE IN HUNGARY</w:t>
      </w:r>
    </w:p>
    <w:p w:rsidR="00D71DF5" w:rsidRDefault="00D71DF5" w:rsidP="00AD2602">
      <w:pPr>
        <w:jc w:val="both"/>
      </w:pPr>
    </w:p>
    <w:p>
      <w:pPr>
        <w:pBdr/>
        <w:spacing w:before="240" w:after="240" w:line="240" w:lineRule="auto"/>
        <w:ind w:left="0" w:right="0"/>
        <w:jc w:val="left"/>
      </w:pPr>
      <w:r>
        <w:rPr>
          <w:color w:val="000000"/>
          <w:sz w:val="24"/>
        </w:rPr>
        <w:t xml:space="preserve">The paper makes two main purposes. First, it expounds the equity premium puzzle and examines this anomaly in Hungary. The puzzle stems from that the historical equity premium is an order of magnitude greater than can be rationalized in the context of the standard neoclassical paradigm of financial economics. I conclude that the puzzle is a global phenomenon, and as well as in many countries in the world, we can observe it in Hungary. Second, it tries to give insight into the possible explanations of the puzzle. The explanations can be divided into two sections. The first deals with risk and preference based explanations of the equity premium, and second comprises the literature that tries to account for the risk premium by factors other than aggregate risk. As a result of these research efforts, we have a deeper understanding of the role and importance of the abstractions that contribute to the puzzle. While no single explanation has fully resolved the anomaly, but the equity premium is a lesser puzzle today than it was in 1985.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88801">
    <w:multiLevelType w:val="hybridMultilevel"/>
    <w:lvl w:ilvl="0" w:tplc="40501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88801">
    <w:abstractNumId w:val="19588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297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