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BÖRDŐS</w:t>
            </w:r>
          </w:p>
          <w:p w:rsidR="00C275A3" w:rsidRDefault="00A96AEC" w:rsidP="00C275A3">
            <w:pPr>
              <w:pStyle w:val="Hallgatokepzes"/>
            </w:pPr>
            <w:r>
              <w:t>public policy and management</w:t>
            </w:r>
            <w:r>
              <w:br/>
            </w:r>
            <w:r w:rsidR="00E77B23">
              <w:t>MSc, 5.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Károly Mike</w:t>
            </w:r>
          </w:p>
          <w:p w:rsidR="00DB4822" w:rsidRDefault="00DB4822" w:rsidP="00E11062">
            <w:pPr>
              <w:pStyle w:val="Konzulensek"/>
            </w:pPr>
            <w:r w:rsidRPr="00DB4822">
              <w:t>senior research fellow,  Hétfa Research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Reputation as a Common Pool Resource: Local Products and the Conditions of a Successful Economic Governance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collective brand or reputation of a local agricultural product can be interpreted as a common pool resource, as it can be costly to exclude members from benefitting from the reputation and the opportunistic behaviour of some members ("free-riding") can alter the pay-offs of the others by affecting the condition of the common reputation. Thus the building of the local brand requires collective action, and the coordination of this collective action is often not free of obstacles. This paper, bulinding mainly on the theories of Elinor Ostrom, tries to answer the following question: what are the main factors that affect the collective action aiming to build and maintain a collective reputation? What forms of collective governance are the most fitting? Re-interpreting Ostrom's factors for the topic of common reputation and demonstrating the results of several case studies of other authors, I present a framework for analysis which can be used to investigate the topic of collective action of local farmers. The relevant factors which affect the collective action can be grouped as:</w:t>
      </w:r>
      <w:r>
        <w:rPr>
          <w:color w:val="000000"/>
          <w:sz w:val="24"/>
          <w:szCs w:val="24"/>
        </w:rPr>
        <w:br/>
        <w:t xml:space="preserve">- criteria of the group members (e.g. motivation, low discount factor)</w:t>
      </w:r>
      <w:r>
        <w:rPr>
          <w:color w:val="000000"/>
          <w:sz w:val="24"/>
          <w:szCs w:val="24"/>
        </w:rPr>
        <w:br/>
        <w:t xml:space="preserve">- factors related to the market structure and the relations of the members (e.g. power relations, trust)</w:t>
      </w:r>
      <w:r>
        <w:rPr>
          <w:color w:val="000000"/>
          <w:sz w:val="24"/>
          <w:szCs w:val="24"/>
        </w:rPr>
        <w:br/>
        <w:t xml:space="preserve">- external factors (e.g. economic and social circumstances)</w:t>
      </w:r>
      <w:r>
        <w:rPr>
          <w:color w:val="000000"/>
          <w:sz w:val="24"/>
          <w:szCs w:val="24"/>
        </w:rPr>
        <w:br/>
        <w:t xml:space="preserve">- institutional factors (e.g. attittude of the government, autonomy of the group).</w:t>
      </w:r>
      <w:r>
        <w:rPr>
          <w:color w:val="000000"/>
          <w:sz w:val="24"/>
          <w:szCs w:val="24"/>
        </w:rPr>
        <w:br/>
        <w:t xml:space="preserve">The potential usage of this framework for analysis is illustrated then by presenting the case of red paprika powder from Kalocsa and Szeged, with some limitation due to the lack of available case studies and data. The main goal of this paper is to provide an analytical framework for an other paper based on empirical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03210">
    <w:multiLevelType w:val="hybridMultilevel"/>
    <w:lvl w:ilvl="0" w:tplc="79579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03210">
    <w:abstractNumId w:val="248032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52316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