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KISS</w:t>
            </w:r>
          </w:p>
          <w:p w:rsidR="00C275A3" w:rsidRDefault="00A96AEC" w:rsidP="00C275A3">
            <w:pPr>
              <w:pStyle w:val="Hallgatokepzes"/>
            </w:pPr>
            <w:r>
              <w:t>Actuarial and Financial Mathematics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Csóka PhD.</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Game Theoretic Methods for Systemic Risk Allocation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uses capital risk allocation games (an up-to-date method in risk allocation) to allocate systemic risk in a financial system. After defining risk measures and systemic risk (which is usually associated with financial contagion), a model is developed for measuring systemic risk.</w:t>
      </w:r>
    </w:p>
    <w:p>
      <w:pPr>
        <w:pBdr/>
        <w:spacing w:before="240" w:after="240" w:line="240" w:lineRule="auto"/>
        <w:ind w:left="0" w:right="0"/>
        <w:jc w:val="left"/>
      </w:pPr>
      <w:r>
        <w:rPr>
          <w:color w:val="000000"/>
          <w:sz w:val="24"/>
          <w:szCs w:val="24"/>
        </w:rPr>
        <w:t xml:space="preserve">This simplified modell unifies the most important features of the models of systemic risk literature (e.g. role of liquidity, role of the shape of the network). However, it remains simple enough for risk allocation schemes to be used.</w:t>
      </w:r>
    </w:p>
    <w:p>
      <w:pPr>
        <w:pBdr/>
        <w:spacing w:before="240" w:after="240" w:line="240" w:lineRule="auto"/>
        <w:ind w:left="0" w:right="0"/>
        <w:jc w:val="left"/>
      </w:pPr>
      <w:r>
        <w:rPr>
          <w:color w:val="000000"/>
          <w:sz w:val="24"/>
          <w:szCs w:val="24"/>
        </w:rPr>
        <w:t xml:space="preserve">As we want to quantify the systemic risk, we need to define a risk measure. The systemic risk measure is then defined so that it can be calculated under any system in the model. Furthermore, risk allocation with the previously defined allocation schemes and with this risk measure is directly calculable.</w:t>
      </w:r>
    </w:p>
    <w:p>
      <w:pPr>
        <w:pBdr/>
        <w:spacing w:before="240" w:after="240" w:line="240" w:lineRule="auto"/>
        <w:ind w:left="0" w:right="0"/>
        <w:jc w:val="left"/>
      </w:pPr>
      <w:r>
        <w:rPr>
          <w:color w:val="000000"/>
          <w:sz w:val="24"/>
          <w:szCs w:val="24"/>
        </w:rPr>
        <w:t xml:space="preserve">After developing all tools the properties of the allocation schemes are examined, and suggestions are made for further development and practical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56120">
    <w:multiLevelType w:val="hybridMultilevel"/>
    <w:lvl w:ilvl="0" w:tplc="67022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56120">
    <w:abstractNumId w:val="21656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807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