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EVA CSARDAS</w:t>
            </w:r>
          </w:p>
          <w:p w:rsidR="00C275A3" w:rsidRDefault="00A96AEC" w:rsidP="00C275A3">
            <w:pPr>
              <w:pStyle w:val="Hallgatokepzes"/>
            </w:pPr>
            <w:r>
              <w:t>Regional and Environmental Economics</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MELINDA KISS</w:t>
            </w:r>
          </w:p>
          <w:p w:rsidR="00DB4822" w:rsidRDefault="00C275A3" w:rsidP="004D7940">
            <w:pPr>
              <w:pStyle w:val="Hallgatokepzes"/>
            </w:pPr>
            <w:r>
              <w:t>MSc in Regional and Environmental Economic Studies</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Forman</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Ózd Microregion: A Regional Analysis and Developmental Possibilities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paper, we examine the regional developmental factors of the Ózd microregion, suggesting ideas for the recovery from marginalization. In the first section, we analyze its occupational, educational, and infrastructural status; discussing the local revenue, tourism, and natural environment. Then, after evaluating developmental antecedents, we outline our own innovative project ideas for the development of that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21359">
    <w:multiLevelType w:val="hybridMultilevel"/>
    <w:lvl w:ilvl="0" w:tplc="82679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21359">
    <w:abstractNumId w:val="23521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9828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