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TAMAS KOVACS</w:t>
            </w:r>
          </w:p>
          <w:p w:rsidR="00C275A3" w:rsidRDefault="00A96AEC" w:rsidP="00C275A3">
            <w:pPr>
              <w:pStyle w:val="Hallgatokepzes"/>
            </w:pPr>
            <w:r>
              <w:t>Business administration and management</w:t>
            </w:r>
            <w:r>
              <w:br/>
            </w:r>
            <w:r w:rsidR="00E77B23">
              <w:t>BSc, 5.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Borbála Kolozs</w:t>
            </w:r>
          </w:p>
          <w:p w:rsidR="00DB4822" w:rsidRDefault="00DB4822" w:rsidP="00E11062">
            <w:pPr>
              <w:pStyle w:val="Konzulensek"/>
            </w:pPr>
            <w:r w:rsidRPr="00DB4822">
              <w:t>permanent research fellow (BCE - Tax Law Research Group) ,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Principles and standards of taxation in Hungary – assessing the development of the national tax legislation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has seen an intensive legislatory period between 2010-2012 resulting among others in an all-new constitution, the Fundamental Law of Hungary (FLH), which came into effect from 1 January 2012. Since the rights for the state of Hungary to tax stem primarily from principles laid down in the FLH, in theory the efficiency of a tax system depends largely on these cornerstone principles. Field-bound provisions on taxation further colour the wide spectrum of standards embracing taxation. This research paper attempts to give an overview of applicable principles and standards in Hungary both on the fields of direct and indirect taxation. The aim is to assess whether principle-wise there has been an improvement with the appearance of the FLH, and to point out whether there are controversial areas where practice fails to match theorical implementations.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434718">
    <w:multiLevelType w:val="hybridMultilevel"/>
    <w:lvl w:ilvl="0" w:tplc="96401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434718">
    <w:abstractNumId w:val="344347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497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