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NÁRAY SZILÁRD</w:t>
            </w:r>
          </w:p>
          <w:p w:rsidR="00C275A3" w:rsidRDefault="00A96AEC" w:rsidP="00C275A3">
            <w:pPr>
              <w:pStyle w:val="Hallgatokepzes"/>
            </w:pPr>
            <w:r>
              <w:t>Alkalmazott Közgazdaságtan</w:t>
            </w:r>
            <w:r>
              <w:br/>
            </w:r>
            <w:r w:rsidR="00E77B23">
              <w:t>BSc, 6.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Kolozs Borbála</w:t>
            </w:r>
          </w:p>
          <w:p w:rsidR="00DB4822" w:rsidRDefault="00DB4822" w:rsidP="00E11062">
            <w:pPr>
              <w:pStyle w:val="Konzulensek"/>
            </w:pPr>
            <w:r w:rsidRPr="00DB4822">
              <w:t>tudományos segédmunkatárs (BCE - Gazdasági Jogi Kutató Csoport),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Transzferárazás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dolgozatomat a társasági adózás egy egyre nagyobb figyelmet kapó részterületéről a transzferárazásról írtam, amely témában eddig méltatlanul kevés magyar nyelvű publikáció készült. Munkám során egyrészről saját munka tapasztalataimat gyűjtöttem össze másrészről a csekély mennyiségű szakmai anyag feldolgozása mellett a szakma szakértőivel is konzultáltam.</w:t>
      </w:r>
    </w:p>
    <w:p>
      <w:pPr>
        <w:widowControl w:val="on"/>
        <w:pBdr/>
        <w:spacing w:before="240" w:after="240" w:line="240" w:lineRule="auto"/>
        <w:ind w:left="0" w:right="0"/>
        <w:jc w:val="left"/>
      </w:pPr>
      <w:r>
        <w:rPr>
          <w:color w:val="000000"/>
          <w:sz w:val="24"/>
          <w:szCs w:val="24"/>
        </w:rPr>
        <w:t xml:space="preserve">Dolgozatomban vázoltam a magyarországi transzferárazás kialakulásának lépéseit. Bemutattam az OECD által létrehozott nyilvántartáskészítés menetéről szóló ajánlást (The Nine Step Process), valamit az előzetes ármegállapítási megbízásokról is szót ejtettem, amely szintén egyre nagyobb figyelmet kap az érintett adózók körében.</w:t>
      </w:r>
    </w:p>
    <w:p>
      <w:pPr>
        <w:widowControl w:val="on"/>
        <w:pBdr/>
        <w:spacing w:before="240" w:after="240" w:line="240" w:lineRule="auto"/>
        <w:ind w:left="0" w:right="0"/>
        <w:jc w:val="left"/>
      </w:pPr>
      <w:r>
        <w:rPr>
          <w:color w:val="000000"/>
          <w:sz w:val="24"/>
          <w:szCs w:val="24"/>
        </w:rPr>
        <w:t xml:space="preserve">Ismertettem a használatban levő transzferár bizonyítási eljárásokat, bemutattam ezek előnyeit, hátrányait, illetve a tipikusan elkövetett hibákra is rávilágítottam.</w:t>
      </w:r>
    </w:p>
    <w:p>
      <w:pPr>
        <w:widowControl w:val="on"/>
        <w:pBdr/>
        <w:spacing w:before="240" w:after="240" w:line="240" w:lineRule="auto"/>
        <w:ind w:left="0" w:right="0"/>
        <w:jc w:val="left"/>
      </w:pPr>
      <w:r>
        <w:rPr>
          <w:color w:val="000000"/>
          <w:sz w:val="24"/>
          <w:szCs w:val="24"/>
        </w:rPr>
        <w:t xml:space="preserve">Vizsgálataim során arra a következtetésre jutottam, hogy a magyarországi transzferár szabályozás kialakítása során figyelembe lettek véve az OECD irányelvek. A módszerek taglalása során bebizonyosodott, hogy a hagyományos módszerek megbízhatóbb eredményt adnak, mint az ügyleti nyereségen alapuló módszerek, de információk hiányában a nyereségen alapuló módszerek is alkalmazhatóak.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9696">
    <w:multiLevelType w:val="hybridMultilevel"/>
    <w:lvl w:ilvl="0" w:tplc="45922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9696">
    <w:abstractNumId w:val="59339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037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